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D81A" w14:textId="3908C365" w:rsidR="007302B7" w:rsidRPr="00CA7B69" w:rsidRDefault="007302B7" w:rsidP="007302B7">
      <w:pPr>
        <w:pStyle w:val="3GPPHeader"/>
        <w:spacing w:after="60"/>
        <w:rPr>
          <w:sz w:val="32"/>
          <w:szCs w:val="32"/>
          <w:highlight w:val="yellow"/>
        </w:rPr>
      </w:pPr>
      <w:r w:rsidRPr="00CA7B69">
        <w:t>3GPP TSG-RAN WG1 Meeting #</w:t>
      </w:r>
      <w:r>
        <w:t>96</w:t>
      </w:r>
      <w:r w:rsidRPr="00CA7B69">
        <w:tab/>
      </w:r>
      <w:r w:rsidR="00484F2C" w:rsidRPr="00484F2C">
        <w:rPr>
          <w:sz w:val="32"/>
          <w:szCs w:val="32"/>
        </w:rPr>
        <w:t>R1-1902902</w:t>
      </w:r>
    </w:p>
    <w:p w14:paraId="19AC454C" w14:textId="77777777" w:rsidR="007302B7" w:rsidRPr="00BD0CF8" w:rsidRDefault="007302B7" w:rsidP="007302B7">
      <w:pPr>
        <w:pStyle w:val="3GPPHeader"/>
      </w:pPr>
      <w:r w:rsidRPr="00BD0CF8">
        <w:t>Athens, Greece, February 25</w:t>
      </w:r>
      <w:r w:rsidRPr="00BD0CF8">
        <w:rPr>
          <w:vertAlign w:val="superscript"/>
        </w:rPr>
        <w:t>th</w:t>
      </w:r>
      <w:r w:rsidRPr="00BD0CF8">
        <w:t xml:space="preserve"> – March 1</w:t>
      </w:r>
      <w:r w:rsidRPr="00BD0CF8">
        <w:rPr>
          <w:vertAlign w:val="superscript"/>
        </w:rPr>
        <w:t>st</w:t>
      </w:r>
      <w:proofErr w:type="gramStart"/>
      <w:r w:rsidRPr="00BD0CF8">
        <w:t xml:space="preserve"> 2019</w:t>
      </w:r>
      <w:proofErr w:type="gramEnd"/>
    </w:p>
    <w:p w14:paraId="60A5317D" w14:textId="77777777" w:rsidR="00E90E49" w:rsidRPr="007302B7" w:rsidRDefault="00E90E49" w:rsidP="00357380">
      <w:pPr>
        <w:pStyle w:val="3GPPHeader"/>
      </w:pPr>
    </w:p>
    <w:p w14:paraId="3C6869D1" w14:textId="07C3BC33" w:rsidR="00E90E49" w:rsidRPr="007302B7" w:rsidRDefault="00E90E49" w:rsidP="00311702">
      <w:pPr>
        <w:pStyle w:val="3GPPHeader"/>
        <w:rPr>
          <w:sz w:val="22"/>
        </w:rPr>
      </w:pPr>
      <w:r w:rsidRPr="007302B7">
        <w:rPr>
          <w:sz w:val="22"/>
        </w:rPr>
        <w:t>Agenda Item:</w:t>
      </w:r>
      <w:r w:rsidRPr="007302B7">
        <w:rPr>
          <w:sz w:val="22"/>
        </w:rPr>
        <w:tab/>
      </w:r>
      <w:r w:rsidR="00AB18D3" w:rsidRPr="007302B7">
        <w:rPr>
          <w:sz w:val="22"/>
        </w:rPr>
        <w:t>7</w:t>
      </w:r>
      <w:r w:rsidR="006500B6" w:rsidRPr="007302B7">
        <w:rPr>
          <w:sz w:val="22"/>
        </w:rPr>
        <w:t>.</w:t>
      </w:r>
      <w:r w:rsidR="00AB18D3" w:rsidRPr="007302B7">
        <w:rPr>
          <w:sz w:val="22"/>
        </w:rPr>
        <w:t>2</w:t>
      </w:r>
      <w:r w:rsidR="006500B6" w:rsidRPr="007302B7">
        <w:rPr>
          <w:sz w:val="22"/>
        </w:rPr>
        <w:t>.</w:t>
      </w:r>
      <w:r w:rsidR="00425EA8" w:rsidRPr="007302B7">
        <w:rPr>
          <w:sz w:val="22"/>
        </w:rPr>
        <w:t>1</w:t>
      </w:r>
      <w:r w:rsidR="00425EA8">
        <w:rPr>
          <w:sz w:val="22"/>
        </w:rPr>
        <w:t>4</w:t>
      </w:r>
    </w:p>
    <w:p w14:paraId="0CB055DD" w14:textId="77777777" w:rsidR="00E90E49" w:rsidRPr="007302B7" w:rsidRDefault="003D3C45" w:rsidP="00F64C2B">
      <w:pPr>
        <w:pStyle w:val="3GPPHeader"/>
        <w:rPr>
          <w:sz w:val="22"/>
        </w:rPr>
      </w:pPr>
      <w:r w:rsidRPr="007302B7">
        <w:rPr>
          <w:sz w:val="22"/>
        </w:rPr>
        <w:t>Source:</w:t>
      </w:r>
      <w:r w:rsidR="00E90E49" w:rsidRPr="007302B7">
        <w:rPr>
          <w:sz w:val="22"/>
        </w:rPr>
        <w:tab/>
      </w:r>
      <w:r w:rsidR="00F64C2B" w:rsidRPr="007302B7">
        <w:rPr>
          <w:sz w:val="22"/>
        </w:rPr>
        <w:t>Ericsson</w:t>
      </w:r>
    </w:p>
    <w:p w14:paraId="63DAB814" w14:textId="653E0BDF" w:rsidR="00E90E49" w:rsidRPr="007302B7" w:rsidRDefault="003D3C45" w:rsidP="00311702">
      <w:pPr>
        <w:pStyle w:val="3GPPHeader"/>
        <w:rPr>
          <w:sz w:val="22"/>
        </w:rPr>
      </w:pPr>
      <w:r w:rsidRPr="007302B7">
        <w:rPr>
          <w:sz w:val="22"/>
        </w:rPr>
        <w:t>Title:</w:t>
      </w:r>
      <w:r w:rsidR="00E90E49" w:rsidRPr="007302B7">
        <w:rPr>
          <w:sz w:val="22"/>
        </w:rPr>
        <w:tab/>
      </w:r>
      <w:r w:rsidR="001946B5" w:rsidRPr="007302B7">
        <w:rPr>
          <w:sz w:val="22"/>
        </w:rPr>
        <w:t>On adapting HARQ procedures for NTN</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2A131184" w:rsidR="00477768" w:rsidRDefault="00A2268A" w:rsidP="000E5128">
      <w:pPr>
        <w:jc w:val="both"/>
        <w:rPr>
          <w:rFonts w:ascii="Arial" w:hAnsi="Arial"/>
        </w:rPr>
      </w:pPr>
      <w:r w:rsidRPr="007302B7">
        <w:rPr>
          <w:rFonts w:ascii="Arial" w:hAnsi="Arial"/>
        </w:rPr>
        <w:t xml:space="preserve">RAN#80 approved a new SI on solutions evaluation for NR to support </w:t>
      </w:r>
      <w:r w:rsidR="00F40912" w:rsidRPr="007302B7">
        <w:rPr>
          <w:rFonts w:ascii="Arial" w:hAnsi="Arial"/>
        </w:rPr>
        <w:t>n</w:t>
      </w:r>
      <w:r w:rsidRPr="007302B7">
        <w:rPr>
          <w:rFonts w:ascii="Arial" w:hAnsi="Arial"/>
        </w:rPr>
        <w:t>on-</w:t>
      </w:r>
      <w:r w:rsidR="00F40912" w:rsidRPr="007302B7">
        <w:rPr>
          <w:rFonts w:ascii="Arial" w:hAnsi="Arial"/>
        </w:rPr>
        <w:t>t</w:t>
      </w:r>
      <w:r w:rsidRPr="007302B7">
        <w:rPr>
          <w:rFonts w:ascii="Arial" w:hAnsi="Arial"/>
        </w:rPr>
        <w:t xml:space="preserve">errestrial </w:t>
      </w:r>
      <w:r w:rsidR="00F40912" w:rsidRPr="007302B7">
        <w:rPr>
          <w:rFonts w:ascii="Arial" w:hAnsi="Arial"/>
        </w:rPr>
        <w:t>n</w:t>
      </w:r>
      <w:r w:rsidRPr="007302B7">
        <w:rPr>
          <w:rFonts w:ascii="Arial" w:hAnsi="Arial"/>
        </w:rPr>
        <w:t>etwork</w:t>
      </w:r>
      <w:r w:rsidR="00F40912" w:rsidRPr="007302B7">
        <w:rPr>
          <w:rFonts w:ascii="Arial" w:hAnsi="Arial"/>
        </w:rPr>
        <w:t xml:space="preserve"> (NTN)</w:t>
      </w:r>
      <w:r w:rsidR="00B647A6">
        <w:rPr>
          <w:rFonts w:ascii="Arial" w:hAnsi="Arial"/>
        </w:rPr>
        <w:t xml:space="preserve">. </w:t>
      </w:r>
      <w:r w:rsidR="00B647A6" w:rsidRPr="00484F2C">
        <w:rPr>
          <w:rFonts w:ascii="Arial" w:hAnsi="Arial"/>
        </w:rPr>
        <w:t>The latest version of the SID is given in</w:t>
      </w:r>
      <w:r w:rsidR="00B45E11" w:rsidRPr="007302B7">
        <w:rPr>
          <w:rFonts w:ascii="Arial" w:hAnsi="Arial"/>
        </w:rPr>
        <w:t xml:space="preserve"> [1]</w:t>
      </w:r>
      <w:r w:rsidR="002B626A" w:rsidRPr="007302B7">
        <w:rPr>
          <w:rFonts w:ascii="Arial" w:hAnsi="Arial"/>
        </w:rPr>
        <w:t>.</w:t>
      </w:r>
      <w:r w:rsidRPr="007302B7">
        <w:rPr>
          <w:rFonts w:ascii="Arial" w:hAnsi="Arial"/>
        </w:rPr>
        <w:t xml:space="preserve"> </w:t>
      </w:r>
      <w:r w:rsidR="00B45E11" w:rsidRPr="007302B7">
        <w:rPr>
          <w:rFonts w:ascii="Arial" w:hAnsi="Arial"/>
        </w:rPr>
        <w:t>The RAN1 work is scheduled to begin at RAN1#96bis in April 2019.</w:t>
      </w:r>
      <w:r w:rsidR="00AB18D3" w:rsidRPr="007302B7">
        <w:rPr>
          <w:rFonts w:ascii="Arial" w:hAnsi="Arial"/>
        </w:rPr>
        <w:t xml:space="preserve"> </w:t>
      </w:r>
      <w:r w:rsidR="00AB18D3">
        <w:rPr>
          <w:rFonts w:ascii="Arial" w:hAnsi="Arial"/>
        </w:rPr>
        <w:t>The SI has the following</w:t>
      </w:r>
      <w:r w:rsidR="00B647A6">
        <w:rPr>
          <w:rFonts w:ascii="Arial" w:hAnsi="Arial"/>
        </w:rPr>
        <w:t xml:space="preserve"> RAN1</w:t>
      </w:r>
      <w:r w:rsidR="00AB18D3">
        <w:rPr>
          <w:rFonts w:ascii="Arial" w:hAnsi="Arial"/>
        </w:rPr>
        <w:t xml:space="preserve"> objectives:</w:t>
      </w:r>
    </w:p>
    <w:p w14:paraId="7AC1BBE3" w14:textId="77777777" w:rsidR="00A2268A" w:rsidRDefault="00A2268A" w:rsidP="000E5128">
      <w:pPr>
        <w:jc w:val="both"/>
        <w:rPr>
          <w:rFonts w:ascii="Arial" w:hAnsi="Arial"/>
        </w:rPr>
      </w:pP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1B617241">
                <wp:extent cx="6120765" cy="2686050"/>
                <wp:effectExtent l="0" t="0" r="13335" b="19050"/>
                <wp:docPr id="2" name="Text Box 2"/>
                <wp:cNvGraphicFramePr/>
                <a:graphic xmlns:a="http://schemas.openxmlformats.org/drawingml/2006/main">
                  <a:graphicData uri="http://schemas.microsoft.com/office/word/2010/wordprocessingShape">
                    <wps:wsp>
                      <wps:cNvSpPr txBox="1"/>
                      <wps:spPr>
                        <a:xfrm>
                          <a:off x="0" y="0"/>
                          <a:ext cx="6120765" cy="2686050"/>
                        </a:xfrm>
                        <a:prstGeom prst="rect">
                          <a:avLst/>
                        </a:prstGeom>
                        <a:solidFill>
                          <a:schemeClr val="lt1"/>
                        </a:solidFill>
                        <a:ln w="6350">
                          <a:solidFill>
                            <a:prstClr val="black"/>
                          </a:solidFill>
                        </a:ln>
                      </wps:spPr>
                      <wps:txbx>
                        <w:txbxContent>
                          <w:p w14:paraId="160186E5" w14:textId="77777777" w:rsidR="00A2268A" w:rsidRPr="007302B7" w:rsidRDefault="00A2268A" w:rsidP="00A2268A">
                            <w:pPr>
                              <w:rPr>
                                <w:rFonts w:ascii="Arial" w:hAnsi="Arial"/>
                                <w:i/>
                                <w:lang w:eastAsia="x-none"/>
                              </w:rPr>
                            </w:pPr>
                            <w:r w:rsidRPr="007302B7">
                              <w:rPr>
                                <w:rFonts w:ascii="Arial" w:hAnsi="Arial"/>
                                <w:b/>
                                <w:bCs/>
                                <w:i/>
                                <w:iCs/>
                                <w:lang w:eastAsia="x-none"/>
                              </w:rPr>
                              <w:t>Physical layer</w:t>
                            </w:r>
                          </w:p>
                          <w:p w14:paraId="53A0B01F" w14:textId="77777777" w:rsidR="00A2268A" w:rsidRPr="007302B7" w:rsidRDefault="00A2268A" w:rsidP="00A2268A">
                            <w:pPr>
                              <w:rPr>
                                <w:rFonts w:ascii="Arial" w:hAnsi="Arial"/>
                                <w:i/>
                                <w:lang w:eastAsia="x-none"/>
                              </w:rPr>
                            </w:pPr>
                            <w:r w:rsidRPr="00A2268A">
                              <w:rPr>
                                <w:rFonts w:ascii="Arial" w:hAnsi="Arial"/>
                                <w:i/>
                                <w:lang w:val="nl-NL" w:eastAsia="x-none"/>
                              </w:rPr>
                              <w:t xml:space="preserve">Consolidation of potential impacts as initially identified in TR 38.811 and identification of related solutions if needed  [RAN1]: </w:t>
                            </w:r>
                          </w:p>
                          <w:p w14:paraId="56917731" w14:textId="77777777" w:rsidR="006C6A79" w:rsidRPr="007302B7" w:rsidRDefault="007272AE" w:rsidP="00351BE1">
                            <w:pPr>
                              <w:numPr>
                                <w:ilvl w:val="2"/>
                                <w:numId w:val="14"/>
                              </w:numPr>
                              <w:rPr>
                                <w:rFonts w:ascii="Arial" w:hAnsi="Arial"/>
                                <w:i/>
                                <w:lang w:eastAsia="x-none"/>
                              </w:rPr>
                            </w:pPr>
                            <w:r w:rsidRPr="007302B7">
                              <w:rPr>
                                <w:rFonts w:ascii="Arial" w:hAnsi="Arial"/>
                                <w:i/>
                                <w:lang w:eastAsia="x-none"/>
                              </w:rPr>
                              <w:t>Physical layer control procedures (e.g. CSI feedback, power control)</w:t>
                            </w:r>
                          </w:p>
                          <w:p w14:paraId="25967C27" w14:textId="77777777" w:rsidR="006C6A79" w:rsidRPr="007302B7" w:rsidRDefault="007272AE" w:rsidP="00351BE1">
                            <w:pPr>
                              <w:numPr>
                                <w:ilvl w:val="2"/>
                                <w:numId w:val="14"/>
                              </w:numPr>
                              <w:rPr>
                                <w:rFonts w:ascii="Arial" w:hAnsi="Arial"/>
                                <w:i/>
                                <w:lang w:eastAsia="x-none"/>
                              </w:rPr>
                            </w:pPr>
                            <w:r w:rsidRPr="007302B7">
                              <w:rPr>
                                <w:rFonts w:ascii="Arial" w:hAnsi="Arial"/>
                                <w:i/>
                                <w:lang w:eastAsia="x-none"/>
                              </w:rPr>
                              <w:t>Uplink Timing advance/RACH procedure including PRACH sequence/format/message</w:t>
                            </w:r>
                          </w:p>
                          <w:p w14:paraId="54708D01" w14:textId="40DCE814" w:rsidR="00A2268A" w:rsidRPr="007302B7" w:rsidRDefault="007272AE" w:rsidP="00351BE1">
                            <w:pPr>
                              <w:numPr>
                                <w:ilvl w:val="2"/>
                                <w:numId w:val="14"/>
                              </w:numPr>
                              <w:rPr>
                                <w:rFonts w:ascii="Arial" w:hAnsi="Arial"/>
                                <w:i/>
                                <w:lang w:eastAsia="x-none"/>
                              </w:rPr>
                            </w:pPr>
                            <w:r w:rsidRPr="007302B7">
                              <w:rPr>
                                <w:rFonts w:ascii="Arial" w:hAnsi="Arial"/>
                                <w:i/>
                                <w:lang w:eastAsia="x-none"/>
                              </w:rPr>
                              <w:t>Making retransmission mechanisms at the physical layer more delay-tolerant as appropriate. This may also include capability to deactivate the HARQ mechanisms.</w:t>
                            </w:r>
                          </w:p>
                          <w:p w14:paraId="7CDE54C6" w14:textId="65F75FB6" w:rsidR="00A2268A" w:rsidRPr="007302B7" w:rsidRDefault="00A2268A" w:rsidP="00A2268A">
                            <w:pPr>
                              <w:rPr>
                                <w:rFonts w:ascii="Arial" w:hAnsi="Arial"/>
                                <w:i/>
                                <w:lang w:eastAsia="x-none"/>
                              </w:rPr>
                            </w:pPr>
                            <w:r w:rsidRPr="007302B7">
                              <w:rPr>
                                <w:rFonts w:ascii="Arial" w:hAnsi="Arial"/>
                                <w:i/>
                                <w:lang w:eastAsia="x-none"/>
                              </w:rPr>
                              <w:t>Performance assessment of NR in selected deployment scenarios (LEO based satellite access, GEO based satellite access) through link level (Radio link) and system level (cell) simulations [RAN1]</w:t>
                            </w:r>
                            <w:r w:rsidR="00467573">
                              <w:rPr>
                                <w:rFonts w:ascii="Arial" w:hAnsi="Arial"/>
                                <w:i/>
                                <w:lang w:eastAsia="x-none"/>
                              </w:rPr>
                              <w:t>.</w:t>
                            </w:r>
                          </w:p>
                          <w:p w14:paraId="5FA9AA7D" w14:textId="77777777" w:rsidR="00A2268A" w:rsidRPr="007302B7" w:rsidRDefault="00A2268A" w:rsidP="00A22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" fillcolor="white [3201]" strokeweight=".5pt">
                <v:textbox>
                  <w:txbxContent>
                    <w:p w14:paraId="160186E5" w14:textId="77777777" w:rsidR="00A2268A" w:rsidRPr="007302B7" w:rsidRDefault="00A2268A" w:rsidP="00A2268A">
                      <w:pPr>
                        <w:rPr>
                          <w:rFonts w:ascii="Arial" w:hAnsi="Arial"/>
                          <w:i/>
                          <w:lang w:eastAsia="x-none"/>
                        </w:rPr>
                      </w:pPr>
                      <w:r w:rsidRPr="007302B7">
                        <w:rPr>
                          <w:rFonts w:ascii="Arial" w:hAnsi="Arial"/>
                          <w:b/>
                          <w:bCs/>
                          <w:i/>
                          <w:iCs/>
                          <w:lang w:eastAsia="x-none"/>
                        </w:rPr>
                        <w:t>Physical layer</w:t>
                      </w:r>
                    </w:p>
                    <w:p w14:paraId="53A0B01F" w14:textId="77777777" w:rsidR="00A2268A" w:rsidRPr="007302B7" w:rsidRDefault="00A2268A" w:rsidP="00A2268A">
                      <w:pPr>
                        <w:rPr>
                          <w:rFonts w:ascii="Arial" w:hAnsi="Arial"/>
                          <w:i/>
                          <w:lang w:eastAsia="x-none"/>
                        </w:rPr>
                      </w:pPr>
                      <w:r w:rsidRPr="00A2268A">
                        <w:rPr>
                          <w:rFonts w:ascii="Arial" w:hAnsi="Arial"/>
                          <w:i/>
                          <w:lang w:val="nl-NL" w:eastAsia="x-none"/>
                        </w:rPr>
                        <w:t xml:space="preserve">Consolidation of potential impacts as initially identified in TR 38.811 and identification of related solutions if needed  [RAN1]: </w:t>
                      </w:r>
                    </w:p>
                    <w:p w14:paraId="56917731" w14:textId="77777777" w:rsidR="006C6A79" w:rsidRPr="007302B7" w:rsidRDefault="007272AE" w:rsidP="00351BE1">
                      <w:pPr>
                        <w:numPr>
                          <w:ilvl w:val="2"/>
                          <w:numId w:val="14"/>
                        </w:numPr>
                        <w:rPr>
                          <w:rFonts w:ascii="Arial" w:hAnsi="Arial"/>
                          <w:i/>
                          <w:lang w:eastAsia="x-none"/>
                        </w:rPr>
                      </w:pPr>
                      <w:r w:rsidRPr="007302B7">
                        <w:rPr>
                          <w:rFonts w:ascii="Arial" w:hAnsi="Arial"/>
                          <w:i/>
                          <w:lang w:eastAsia="x-none"/>
                        </w:rPr>
                        <w:t>Physical layer control procedures (e.g. CSI feedback, power control)</w:t>
                      </w:r>
                    </w:p>
                    <w:p w14:paraId="25967C27" w14:textId="77777777" w:rsidR="006C6A79" w:rsidRPr="007302B7" w:rsidRDefault="007272AE" w:rsidP="00351BE1">
                      <w:pPr>
                        <w:numPr>
                          <w:ilvl w:val="2"/>
                          <w:numId w:val="14"/>
                        </w:numPr>
                        <w:rPr>
                          <w:rFonts w:ascii="Arial" w:hAnsi="Arial"/>
                          <w:i/>
                          <w:lang w:eastAsia="x-none"/>
                        </w:rPr>
                      </w:pPr>
                      <w:r w:rsidRPr="007302B7">
                        <w:rPr>
                          <w:rFonts w:ascii="Arial" w:hAnsi="Arial"/>
                          <w:i/>
                          <w:lang w:eastAsia="x-none"/>
                        </w:rPr>
                        <w:t>Uplink Timing advance/RACH procedure including PRACH sequence/format/message</w:t>
                      </w:r>
                    </w:p>
                    <w:p w14:paraId="54708D01" w14:textId="40DCE814" w:rsidR="00A2268A" w:rsidRPr="007302B7" w:rsidRDefault="007272AE" w:rsidP="00351BE1">
                      <w:pPr>
                        <w:numPr>
                          <w:ilvl w:val="2"/>
                          <w:numId w:val="14"/>
                        </w:numPr>
                        <w:rPr>
                          <w:rFonts w:ascii="Arial" w:hAnsi="Arial"/>
                          <w:i/>
                          <w:lang w:eastAsia="x-none"/>
                        </w:rPr>
                      </w:pPr>
                      <w:r w:rsidRPr="007302B7">
                        <w:rPr>
                          <w:rFonts w:ascii="Arial" w:hAnsi="Arial"/>
                          <w:i/>
                          <w:lang w:eastAsia="x-none"/>
                        </w:rPr>
                        <w:t>Making retransmission mechanisms at the physical layer more delay-tolerant as appropriate. This may also include capability to deactivate the HARQ mechanisms.</w:t>
                      </w:r>
                    </w:p>
                    <w:p w14:paraId="7CDE54C6" w14:textId="65F75FB6" w:rsidR="00A2268A" w:rsidRPr="007302B7" w:rsidRDefault="00A2268A" w:rsidP="00A2268A">
                      <w:pPr>
                        <w:rPr>
                          <w:rFonts w:ascii="Arial" w:hAnsi="Arial"/>
                          <w:i/>
                          <w:lang w:eastAsia="x-none"/>
                        </w:rPr>
                      </w:pPr>
                      <w:r w:rsidRPr="007302B7">
                        <w:rPr>
                          <w:rFonts w:ascii="Arial" w:hAnsi="Arial"/>
                          <w:i/>
                          <w:lang w:eastAsia="x-none"/>
                        </w:rPr>
                        <w:t>Performance assessment of NR in selected deployment scenarios (LEO based satellite access, GEO based satellite access) through link level (Radio link) and system level (cell) simulations [RAN1]</w:t>
                      </w:r>
                      <w:r w:rsidR="00467573">
                        <w:rPr>
                          <w:rFonts w:ascii="Arial" w:hAnsi="Arial"/>
                          <w:i/>
                          <w:lang w:eastAsia="x-none"/>
                        </w:rPr>
                        <w:t>.</w:t>
                      </w:r>
                    </w:p>
                    <w:p w14:paraId="5FA9AA7D" w14:textId="77777777" w:rsidR="00A2268A" w:rsidRPr="007302B7" w:rsidRDefault="00A2268A" w:rsidP="00A2268A"/>
                  </w:txbxContent>
                </v:textbox>
                <w10:anchorlock/>
              </v:shape>
            </w:pict>
          </mc:Fallback>
        </mc:AlternateContent>
      </w:r>
    </w:p>
    <w:p w14:paraId="644AC52F" w14:textId="6FEE005E" w:rsidR="00A2268A" w:rsidRPr="00484F2C" w:rsidRDefault="00A2268A" w:rsidP="00484F2C">
      <w:pPr>
        <w:rPr>
          <w:rFonts w:ascii="Arial" w:hAnsi="Arial"/>
          <w:i/>
          <w:lang w:eastAsia="x-none"/>
        </w:rPr>
      </w:pPr>
      <w:r w:rsidRPr="007302B7">
        <w:rPr>
          <w:rFonts w:ascii="Arial" w:hAnsi="Arial"/>
        </w:rPr>
        <w:t>In this contribution, we</w:t>
      </w:r>
      <w:r w:rsidR="00880A5D">
        <w:rPr>
          <w:rFonts w:ascii="Arial" w:hAnsi="Arial"/>
        </w:rPr>
        <w:t xml:space="preserve"> discuss the </w:t>
      </w:r>
      <w:r w:rsidR="00467573">
        <w:rPr>
          <w:rFonts w:ascii="Arial" w:hAnsi="Arial"/>
        </w:rPr>
        <w:t xml:space="preserve">aforementioned </w:t>
      </w:r>
      <w:r w:rsidR="00880A5D">
        <w:rPr>
          <w:rFonts w:ascii="Arial" w:hAnsi="Arial"/>
        </w:rPr>
        <w:t>objective “</w:t>
      </w:r>
      <w:r w:rsidR="00880A5D" w:rsidRPr="007302B7">
        <w:rPr>
          <w:rFonts w:ascii="Arial" w:hAnsi="Arial"/>
          <w:i/>
          <w:lang w:eastAsia="x-none"/>
        </w:rPr>
        <w:t>Making retransmission mechanisms at the physical layer more delay-tolerant as appropriate. This may also include capability to deactivate the HARQ mechanisms.</w:t>
      </w:r>
      <w:r w:rsidR="00880A5D">
        <w:rPr>
          <w:rFonts w:ascii="Arial" w:hAnsi="Arial"/>
        </w:rPr>
        <w:t xml:space="preserve">” </w:t>
      </w:r>
      <w:proofErr w:type="gramStart"/>
      <w:r w:rsidR="00880A5D">
        <w:rPr>
          <w:rFonts w:ascii="Arial" w:hAnsi="Arial"/>
        </w:rPr>
        <w:t>In particular</w:t>
      </w:r>
      <w:r w:rsidR="006C0C9D">
        <w:rPr>
          <w:rFonts w:ascii="Arial" w:hAnsi="Arial"/>
        </w:rPr>
        <w:t>,</w:t>
      </w:r>
      <w:r w:rsidR="00880A5D">
        <w:rPr>
          <w:rFonts w:ascii="Arial" w:hAnsi="Arial"/>
        </w:rPr>
        <w:t xml:space="preserve"> we</w:t>
      </w:r>
      <w:proofErr w:type="gramEnd"/>
      <w:r w:rsidRPr="007302B7">
        <w:rPr>
          <w:rFonts w:ascii="Arial" w:hAnsi="Arial"/>
        </w:rPr>
        <w:t xml:space="preserve"> </w:t>
      </w:r>
      <w:r w:rsidR="001165C3" w:rsidRPr="007302B7">
        <w:rPr>
          <w:rFonts w:ascii="Arial" w:hAnsi="Arial"/>
        </w:rPr>
        <w:t xml:space="preserve">highlight the key considerations for adapting HARQ procedures in </w:t>
      </w:r>
      <w:r w:rsidRPr="007302B7">
        <w:rPr>
          <w:rFonts w:ascii="Arial" w:hAnsi="Arial"/>
        </w:rPr>
        <w:t>NR for NTN.</w:t>
      </w:r>
      <w:r w:rsidR="008D40CF" w:rsidRPr="007302B7">
        <w:rPr>
          <w:rFonts w:ascii="Arial" w:hAnsi="Arial"/>
        </w:rPr>
        <w:t xml:space="preserve"> </w:t>
      </w:r>
    </w:p>
    <w:p w14:paraId="7AD1282A" w14:textId="1847CC5C" w:rsidR="00D76D90" w:rsidRDefault="0093432B" w:rsidP="0093432B">
      <w:pPr>
        <w:pStyle w:val="Heading1"/>
      </w:pPr>
      <w:r>
        <w:t>2</w:t>
      </w:r>
      <w:r w:rsidR="001946B5">
        <w:t>.</w:t>
      </w:r>
      <w:r w:rsidR="001946B5">
        <w:tab/>
        <w:t xml:space="preserve">HARQ in </w:t>
      </w:r>
      <w:r w:rsidR="00D76D90">
        <w:t>terrestrial and non-terrestrial networks</w:t>
      </w:r>
    </w:p>
    <w:p w14:paraId="015BB7C8" w14:textId="667C0D70" w:rsidR="001946B5" w:rsidRPr="007302B7" w:rsidRDefault="001946B5" w:rsidP="00D76D90">
      <w:pPr>
        <w:pStyle w:val="BodyText"/>
      </w:pPr>
      <w:r w:rsidRPr="007302B7">
        <w:t xml:space="preserve">Hybrid automatic repeat request (HARQ) protocol is one of the most important features in NR. </w:t>
      </w:r>
      <w:r w:rsidR="00D76D90" w:rsidRPr="007302B7">
        <w:t xml:space="preserve">In conjunction with </w:t>
      </w:r>
      <w:r w:rsidRPr="007302B7">
        <w:t xml:space="preserve">link adaptation, HARQ enables efficient, reliable and low delay data transmission in </w:t>
      </w:r>
      <w:r w:rsidR="00D76D90" w:rsidRPr="007302B7">
        <w:t>cellular networks</w:t>
      </w:r>
      <w:r w:rsidRPr="007302B7">
        <w:t>.</w:t>
      </w:r>
    </w:p>
    <w:p w14:paraId="44FEBC02" w14:textId="4B6BF6F7" w:rsidR="00D76D90" w:rsidRDefault="00177207" w:rsidP="00177207">
      <w:pPr>
        <w:pStyle w:val="Heading2"/>
      </w:pPr>
      <w:r>
        <w:lastRenderedPageBreak/>
        <w:t>3.1</w:t>
      </w:r>
      <w:r>
        <w:tab/>
      </w:r>
      <w:r w:rsidR="00D76D90">
        <w:t>HARQ in Terrestrial networks</w:t>
      </w:r>
    </w:p>
    <w:p w14:paraId="5ADAFBA9" w14:textId="7A2D523E" w:rsidR="00D76D90" w:rsidRPr="001946B5" w:rsidRDefault="00D76D90" w:rsidP="00D76D90">
      <w:pPr>
        <w:pStyle w:val="IvDInstructiontext"/>
        <w:rPr>
          <w:rStyle w:val="IvDbodytextChar"/>
          <w:i w:val="0"/>
          <w:color w:val="auto"/>
          <w:sz w:val="20"/>
          <w:szCs w:val="20"/>
        </w:rPr>
      </w:pPr>
      <w:r w:rsidRPr="001946B5">
        <w:rPr>
          <w:rStyle w:val="IvDbodytextChar"/>
          <w:i w:val="0"/>
          <w:color w:val="auto"/>
          <w:sz w:val="20"/>
          <w:szCs w:val="20"/>
        </w:rPr>
        <w:t>Existing HARQ procedures at the PHY/MAC layer</w:t>
      </w:r>
      <w:r>
        <w:rPr>
          <w:rStyle w:val="IvDbodytextChar"/>
          <w:i w:val="0"/>
          <w:color w:val="auto"/>
          <w:sz w:val="20"/>
          <w:szCs w:val="20"/>
        </w:rPr>
        <w:t>s</w:t>
      </w:r>
      <w:r w:rsidRPr="001946B5">
        <w:rPr>
          <w:rStyle w:val="IvDbodytextChar"/>
          <w:i w:val="0"/>
          <w:color w:val="auto"/>
          <w:sz w:val="20"/>
          <w:szCs w:val="20"/>
        </w:rPr>
        <w:t xml:space="preserve"> have been designed for terrestrial networks where the </w:t>
      </w:r>
      <w:r>
        <w:rPr>
          <w:rStyle w:val="IvDbodytextChar"/>
          <w:i w:val="0"/>
          <w:color w:val="auto"/>
          <w:sz w:val="20"/>
          <w:szCs w:val="20"/>
        </w:rPr>
        <w:t>round-trip</w:t>
      </w:r>
      <w:r w:rsidRPr="001946B5">
        <w:rPr>
          <w:rStyle w:val="IvDbodytextChar"/>
          <w:i w:val="0"/>
          <w:color w:val="auto"/>
          <w:sz w:val="20"/>
          <w:szCs w:val="20"/>
        </w:rPr>
        <w:t xml:space="preserve"> propagation delay is </w:t>
      </w:r>
      <w:r>
        <w:rPr>
          <w:rStyle w:val="IvDbodytextChar"/>
          <w:i w:val="0"/>
          <w:color w:val="auto"/>
          <w:sz w:val="20"/>
          <w:szCs w:val="20"/>
        </w:rPr>
        <w:t xml:space="preserve">typically </w:t>
      </w:r>
      <w:r w:rsidRPr="001946B5">
        <w:rPr>
          <w:rStyle w:val="IvDbodytextChar"/>
          <w:i w:val="0"/>
          <w:color w:val="auto"/>
          <w:sz w:val="20"/>
          <w:szCs w:val="20"/>
        </w:rPr>
        <w:t xml:space="preserve">restricted to within 1 ms. With HARQ protocol, a transmitter needs to wait for the feedback from the receiver before sending new data. In case of a negative acknowledgement (NACK), the transmitter may need to resend the data packet. Otherwise, it may send new data. This stop-and-wait (SAW) procedure introduces inherent latency to the communication protocol, which may reduce the link throughput. To alleviate this issue, existing HARQ procedure allows activating multiple HARQ processes at the transmitter. That is, the transmitter may initiate multiple transmissions in parallel without having to wait for a HARQ completion. For example, with 16 HARQ processes in NR DL, the gNB may initiate up to 16 new data transmissions without waiting for an ACK for the first packet transmission. Note that there are </w:t>
      </w:r>
      <w:proofErr w:type="gramStart"/>
      <w:r w:rsidRPr="001946B5">
        <w:rPr>
          <w:rStyle w:val="IvDbodytextChar"/>
          <w:i w:val="0"/>
          <w:color w:val="auto"/>
          <w:sz w:val="20"/>
          <w:szCs w:val="20"/>
        </w:rPr>
        <w:t>sufficient number of</w:t>
      </w:r>
      <w:proofErr w:type="gramEnd"/>
      <w:r w:rsidRPr="001946B5">
        <w:rPr>
          <w:rStyle w:val="IvDbodytextChar"/>
          <w:i w:val="0"/>
          <w:color w:val="auto"/>
          <w:sz w:val="20"/>
          <w:szCs w:val="20"/>
        </w:rPr>
        <w:t xml:space="preserve"> HARQ processes for terrestrial networks </w:t>
      </w:r>
      <w:r w:rsidR="00177207">
        <w:rPr>
          <w:rStyle w:val="IvDbodytextChar"/>
          <w:i w:val="0"/>
          <w:color w:val="auto"/>
          <w:sz w:val="20"/>
          <w:szCs w:val="20"/>
        </w:rPr>
        <w:t>relative to the delay encountered by the HARQ feedback loop</w:t>
      </w:r>
      <w:r w:rsidRPr="001946B5">
        <w:rPr>
          <w:rStyle w:val="IvDbodytextChar"/>
          <w:i w:val="0"/>
          <w:color w:val="auto"/>
          <w:sz w:val="20"/>
          <w:szCs w:val="20"/>
        </w:rPr>
        <w:t xml:space="preserve">. </w:t>
      </w:r>
    </w:p>
    <w:p w14:paraId="1DF56800" w14:textId="2135F023" w:rsidR="00D76D90" w:rsidRPr="001946B5" w:rsidRDefault="00D76D90" w:rsidP="00D76D90">
      <w:pPr>
        <w:pStyle w:val="IvDInstructiontext"/>
        <w:rPr>
          <w:rStyle w:val="IvDbodytextChar"/>
          <w:i w:val="0"/>
          <w:color w:val="auto"/>
          <w:sz w:val="20"/>
          <w:szCs w:val="20"/>
        </w:rPr>
      </w:pPr>
      <w:r>
        <w:rPr>
          <w:rStyle w:val="IvDbodytextChar"/>
          <w:i w:val="0"/>
          <w:color w:val="auto"/>
          <w:sz w:val="20"/>
          <w:szCs w:val="20"/>
        </w:rPr>
        <w:t>Figure</w:t>
      </w:r>
      <w:r w:rsidR="00177207">
        <w:rPr>
          <w:rStyle w:val="IvDbodytextChar"/>
          <w:i w:val="0"/>
          <w:color w:val="auto"/>
          <w:sz w:val="20"/>
          <w:szCs w:val="20"/>
        </w:rPr>
        <w:t xml:space="preserve"> 2 </w:t>
      </w:r>
      <w:r w:rsidRPr="001946B5">
        <w:rPr>
          <w:rStyle w:val="IvDbodytextChar"/>
          <w:i w:val="0"/>
          <w:color w:val="auto"/>
          <w:sz w:val="20"/>
          <w:szCs w:val="20"/>
        </w:rPr>
        <w:t>shows the various delays associated with the HARQ procedure:</w:t>
      </w:r>
    </w:p>
    <w:p w14:paraId="6AA3872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packet first reaches the receiver after a propagation delay Tp.</w:t>
      </w:r>
    </w:p>
    <w:p w14:paraId="1E8534D2"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receiver sends the feedback after a processing/slot delay T1.</w:t>
      </w:r>
    </w:p>
    <w:p w14:paraId="7748189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feedback reaches the data transmitter after a propagation delay Tp.</w:t>
      </w:r>
    </w:p>
    <w:p w14:paraId="23E4D49E"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transmitter may send a retransmission or new data after a processing/slot delay T2.</w:t>
      </w:r>
    </w:p>
    <w:p w14:paraId="1CBD70DD" w14:textId="6C7CDBB1"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required</w:t>
      </w:r>
      <w:r w:rsidR="00780E7E">
        <w:rPr>
          <w:rStyle w:val="IvDbodytextChar"/>
          <w:i w:val="0"/>
          <w:color w:val="auto"/>
          <w:sz w:val="20"/>
          <w:szCs w:val="20"/>
        </w:rPr>
        <w:t xml:space="preserve"> minimum</w:t>
      </w:r>
      <w:r w:rsidRPr="001946B5">
        <w:rPr>
          <w:rStyle w:val="IvDbodytextChar"/>
          <w:i w:val="0"/>
          <w:color w:val="auto"/>
          <w:sz w:val="20"/>
          <w:szCs w:val="20"/>
        </w:rPr>
        <w:t xml:space="preserve"> number of HARQ processes is (2Tp+T1+T2)/Ts</w:t>
      </w:r>
      <w:r w:rsidR="00780E7E">
        <w:rPr>
          <w:rStyle w:val="IvDbodytextChar"/>
          <w:i w:val="0"/>
          <w:color w:val="auto"/>
          <w:sz w:val="20"/>
          <w:szCs w:val="20"/>
        </w:rPr>
        <w:t>,</w:t>
      </w:r>
      <w:r w:rsidRPr="001946B5">
        <w:rPr>
          <w:rStyle w:val="IvDbodytextChar"/>
          <w:i w:val="0"/>
          <w:color w:val="auto"/>
          <w:sz w:val="20"/>
          <w:szCs w:val="20"/>
        </w:rPr>
        <w:t xml:space="preserve"> where Ts refers to the slot duration in NR</w:t>
      </w:r>
      <w:r w:rsidR="00780E7E">
        <w:rPr>
          <w:rStyle w:val="IvDbodytextChar"/>
          <w:i w:val="0"/>
          <w:color w:val="auto"/>
          <w:sz w:val="20"/>
          <w:szCs w:val="20"/>
        </w:rPr>
        <w:t>, to achieve the highest throughput from continuous transmissions.</w:t>
      </w:r>
    </w:p>
    <w:p w14:paraId="2A9FA25B" w14:textId="77777777" w:rsidR="00D76D90" w:rsidRDefault="00D76D90" w:rsidP="00D76D90">
      <w:pPr>
        <w:pStyle w:val="BodyText"/>
        <w:keepNext/>
      </w:pPr>
      <w:r>
        <w:rPr>
          <w:rStyle w:val="IvDbodytextChar"/>
          <w:i/>
          <w:noProof/>
        </w:rPr>
        <w:t xml:space="preserve">                          </w:t>
      </w:r>
      <w:r>
        <w:rPr>
          <w:rStyle w:val="IvDbodytextChar"/>
          <w:i/>
          <w:noProof/>
        </w:rPr>
        <w:drawing>
          <wp:inline distT="0" distB="0" distL="0" distR="0" wp14:anchorId="1101546C" wp14:editId="7B10649C">
            <wp:extent cx="3891126" cy="2619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665" cy="2620411"/>
                    </a:xfrm>
                    <a:prstGeom prst="rect">
                      <a:avLst/>
                    </a:prstGeom>
                    <a:noFill/>
                  </pic:spPr>
                </pic:pic>
              </a:graphicData>
            </a:graphic>
          </wp:inline>
        </w:drawing>
      </w:r>
    </w:p>
    <w:p w14:paraId="49244F41" w14:textId="584D8FCF" w:rsidR="00D76D90" w:rsidRPr="007302B7" w:rsidRDefault="00D76D90" w:rsidP="00D76D90">
      <w:pPr>
        <w:pStyle w:val="Caption"/>
        <w:ind w:left="2268" w:firstLine="567"/>
        <w:jc w:val="both"/>
      </w:pPr>
      <w:r w:rsidRPr="007302B7">
        <w:t xml:space="preserve">Figure </w:t>
      </w:r>
      <w:r w:rsidR="00177207" w:rsidRPr="007302B7">
        <w:rPr>
          <w:noProof/>
        </w:rPr>
        <w:t>2</w:t>
      </w:r>
      <w:r w:rsidRPr="007302B7">
        <w:t xml:space="preserve"> </w:t>
      </w:r>
      <w:r w:rsidR="00F02274" w:rsidRPr="007302B7">
        <w:t xml:space="preserve">An illustration of </w:t>
      </w:r>
      <w:r w:rsidRPr="007302B7">
        <w:t>HARQ protocol at MAC layer</w:t>
      </w:r>
      <w:r w:rsidR="00880A5D">
        <w:t>.</w:t>
      </w:r>
    </w:p>
    <w:p w14:paraId="6E4B8B90" w14:textId="4A5FC49D" w:rsidR="00D76D90" w:rsidRDefault="00177207" w:rsidP="00603771">
      <w:pPr>
        <w:pStyle w:val="Heading2"/>
        <w:ind w:left="0" w:firstLine="0"/>
      </w:pPr>
      <w:r>
        <w:t>3.2</w:t>
      </w:r>
      <w:r>
        <w:tab/>
      </w:r>
      <w:r>
        <w:tab/>
      </w:r>
      <w:r w:rsidR="00D76D90">
        <w:t>HARQ in NTN</w:t>
      </w:r>
    </w:p>
    <w:p w14:paraId="63360F18" w14:textId="3C543A2A" w:rsidR="00D76D90" w:rsidRDefault="00D76D90" w:rsidP="00D76D90">
      <w:pPr>
        <w:pStyle w:val="IvDInstructiontext"/>
        <w:rPr>
          <w:rStyle w:val="IvDbodytextChar"/>
          <w:i w:val="0"/>
          <w:color w:val="auto"/>
          <w:sz w:val="20"/>
          <w:szCs w:val="20"/>
        </w:rPr>
      </w:pPr>
      <w:r>
        <w:rPr>
          <w:rStyle w:val="IvDbodytextChar"/>
          <w:i w:val="0"/>
          <w:color w:val="auto"/>
          <w:sz w:val="20"/>
          <w:szCs w:val="20"/>
        </w:rPr>
        <w:t xml:space="preserve">The NTN propagation delay can be considerably higher than that </w:t>
      </w:r>
      <w:r w:rsidR="00177207">
        <w:rPr>
          <w:rStyle w:val="IvDbodytextChar"/>
          <w:i w:val="0"/>
          <w:color w:val="auto"/>
          <w:sz w:val="20"/>
          <w:szCs w:val="20"/>
        </w:rPr>
        <w:t>in</w:t>
      </w:r>
      <w:r>
        <w:rPr>
          <w:rStyle w:val="IvDbodytextChar"/>
          <w:i w:val="0"/>
          <w:color w:val="auto"/>
          <w:sz w:val="20"/>
          <w:szCs w:val="20"/>
        </w:rPr>
        <w:t xml:space="preserve"> terrestrial networks. This calls for tailoring the traditional HARQ procedures to cope with large propagation delays.  We now highlight the main issues with existing HARQ protocol amid large propagation delays.</w:t>
      </w:r>
    </w:p>
    <w:p w14:paraId="2BEDE842" w14:textId="4ECBFADB" w:rsidR="00D76D90" w:rsidRPr="007302B7" w:rsidRDefault="00D76D90" w:rsidP="00351BE1">
      <w:pPr>
        <w:pStyle w:val="IvDInstructiontext"/>
        <w:numPr>
          <w:ilvl w:val="0"/>
          <w:numId w:val="21"/>
        </w:numPr>
        <w:rPr>
          <w:i w:val="0"/>
          <w:color w:val="auto"/>
          <w:sz w:val="20"/>
          <w:szCs w:val="20"/>
        </w:rPr>
      </w:pPr>
      <w:r w:rsidRPr="007302B7">
        <w:rPr>
          <w:i w:val="0"/>
          <w:color w:val="auto"/>
          <w:sz w:val="20"/>
          <w:szCs w:val="20"/>
        </w:rPr>
        <w:t xml:space="preserve">The existing HARQ mechanism may not be </w:t>
      </w:r>
      <w:r w:rsidR="00CA21C8">
        <w:rPr>
          <w:i w:val="0"/>
          <w:color w:val="auto"/>
          <w:sz w:val="20"/>
          <w:szCs w:val="20"/>
        </w:rPr>
        <w:t xml:space="preserve">an </w:t>
      </w:r>
      <w:r w:rsidR="00880A5D">
        <w:rPr>
          <w:i w:val="0"/>
          <w:color w:val="auto"/>
          <w:sz w:val="20"/>
          <w:szCs w:val="20"/>
        </w:rPr>
        <w:t>efficient</w:t>
      </w:r>
      <w:r w:rsidR="00880A5D" w:rsidRPr="007302B7">
        <w:rPr>
          <w:i w:val="0"/>
          <w:color w:val="auto"/>
          <w:sz w:val="20"/>
          <w:szCs w:val="20"/>
        </w:rPr>
        <w:t xml:space="preserve"> </w:t>
      </w:r>
      <w:r w:rsidR="00880A5D">
        <w:rPr>
          <w:i w:val="0"/>
          <w:color w:val="auto"/>
          <w:sz w:val="20"/>
          <w:szCs w:val="20"/>
        </w:rPr>
        <w:t xml:space="preserve">tool for providing fast feedback </w:t>
      </w:r>
      <w:r w:rsidRPr="007302B7">
        <w:rPr>
          <w:i w:val="0"/>
          <w:color w:val="auto"/>
          <w:sz w:val="20"/>
          <w:szCs w:val="20"/>
        </w:rPr>
        <w:t xml:space="preserve">when the propagation delay is much larger than that supported by the allowed number of HARQ processes. For example, consider the scenario where </w:t>
      </w:r>
      <w:r w:rsidR="00177207" w:rsidRPr="007302B7">
        <w:rPr>
          <w:i w:val="0"/>
          <w:color w:val="auto"/>
          <w:sz w:val="20"/>
          <w:szCs w:val="20"/>
        </w:rPr>
        <w:t>NR</w:t>
      </w:r>
      <w:r w:rsidRPr="007302B7">
        <w:rPr>
          <w:i w:val="0"/>
          <w:color w:val="auto"/>
          <w:sz w:val="20"/>
          <w:szCs w:val="20"/>
        </w:rPr>
        <w:t xml:space="preserve"> is </w:t>
      </w:r>
      <w:r w:rsidR="00177207" w:rsidRPr="007302B7">
        <w:rPr>
          <w:i w:val="0"/>
          <w:color w:val="auto"/>
          <w:sz w:val="20"/>
          <w:szCs w:val="20"/>
        </w:rPr>
        <w:t>use</w:t>
      </w:r>
      <w:r w:rsidRPr="007302B7">
        <w:rPr>
          <w:i w:val="0"/>
          <w:color w:val="auto"/>
          <w:sz w:val="20"/>
          <w:szCs w:val="20"/>
        </w:rPr>
        <w:t xml:space="preserve">d for satellite communications. For the </w:t>
      </w:r>
      <w:r w:rsidR="00B258F8">
        <w:rPr>
          <w:i w:val="0"/>
          <w:color w:val="auto"/>
          <w:sz w:val="20"/>
          <w:szCs w:val="20"/>
        </w:rPr>
        <w:t>bent-</w:t>
      </w:r>
      <w:r w:rsidR="00B258F8">
        <w:rPr>
          <w:i w:val="0"/>
          <w:color w:val="auto"/>
          <w:sz w:val="20"/>
          <w:szCs w:val="20"/>
        </w:rPr>
        <w:lastRenderedPageBreak/>
        <w:t xml:space="preserve">pipe </w:t>
      </w:r>
      <w:r w:rsidRPr="007302B7">
        <w:rPr>
          <w:i w:val="0"/>
          <w:color w:val="auto"/>
          <w:sz w:val="20"/>
          <w:szCs w:val="20"/>
        </w:rPr>
        <w:t xml:space="preserve">GEO case, the RTT propagation delay can be around 500 ms. With </w:t>
      </w:r>
      <w:r w:rsidR="00060CA4" w:rsidRPr="007302B7">
        <w:rPr>
          <w:i w:val="0"/>
          <w:color w:val="auto"/>
          <w:sz w:val="20"/>
          <w:szCs w:val="20"/>
        </w:rPr>
        <w:t>16</w:t>
      </w:r>
      <w:r w:rsidRPr="007302B7">
        <w:rPr>
          <w:i w:val="0"/>
          <w:color w:val="auto"/>
          <w:sz w:val="20"/>
          <w:szCs w:val="20"/>
        </w:rPr>
        <w:t xml:space="preserve"> HARQ processes, the </w:t>
      </w:r>
      <w:r w:rsidR="00060CA4" w:rsidRPr="007302B7">
        <w:rPr>
          <w:i w:val="0"/>
          <w:color w:val="auto"/>
          <w:sz w:val="20"/>
          <w:szCs w:val="20"/>
        </w:rPr>
        <w:t>g</w:t>
      </w:r>
      <w:r w:rsidRPr="007302B7">
        <w:rPr>
          <w:i w:val="0"/>
          <w:color w:val="auto"/>
          <w:sz w:val="20"/>
          <w:szCs w:val="20"/>
        </w:rPr>
        <w:t xml:space="preserve">NB needs to wait for around 500 </w:t>
      </w:r>
      <w:proofErr w:type="spellStart"/>
      <w:r w:rsidRPr="007302B7">
        <w:rPr>
          <w:i w:val="0"/>
          <w:color w:val="auto"/>
          <w:sz w:val="20"/>
          <w:szCs w:val="20"/>
        </w:rPr>
        <w:t>ms</w:t>
      </w:r>
      <w:proofErr w:type="spellEnd"/>
      <w:r w:rsidRPr="007302B7">
        <w:rPr>
          <w:i w:val="0"/>
          <w:color w:val="auto"/>
          <w:sz w:val="20"/>
          <w:szCs w:val="20"/>
        </w:rPr>
        <w:t xml:space="preserve"> before sending new data. This translates to benefitting from only a meager fraction (</w:t>
      </w:r>
      <w:r w:rsidR="00060CA4" w:rsidRPr="007302B7">
        <w:rPr>
          <w:i w:val="0"/>
          <w:color w:val="auto"/>
          <w:sz w:val="20"/>
          <w:szCs w:val="20"/>
        </w:rPr>
        <w:t>16</w:t>
      </w:r>
      <w:r w:rsidRPr="007302B7">
        <w:rPr>
          <w:i w:val="0"/>
          <w:color w:val="auto"/>
          <w:sz w:val="20"/>
          <w:szCs w:val="20"/>
        </w:rPr>
        <w:t>/500</w:t>
      </w:r>
      <w:r w:rsidR="00EB741A">
        <w:rPr>
          <w:i w:val="0"/>
          <w:color w:val="auto"/>
          <w:sz w:val="20"/>
          <w:szCs w:val="20"/>
        </w:rPr>
        <w:t xml:space="preserve"> or 3.2%</w:t>
      </w:r>
      <w:r w:rsidRPr="007302B7">
        <w:rPr>
          <w:i w:val="0"/>
          <w:color w:val="auto"/>
          <w:sz w:val="20"/>
          <w:szCs w:val="20"/>
        </w:rPr>
        <w:t>) of the available peak throughput.</w:t>
      </w:r>
      <w:r w:rsidR="00B258F8">
        <w:rPr>
          <w:i w:val="0"/>
          <w:color w:val="auto"/>
          <w:sz w:val="20"/>
          <w:szCs w:val="20"/>
        </w:rPr>
        <w:t xml:space="preserve"> For the bent-pipe LEO </w:t>
      </w:r>
      <w:r w:rsidR="00EB741A">
        <w:rPr>
          <w:i w:val="0"/>
          <w:color w:val="auto"/>
          <w:sz w:val="20"/>
          <w:szCs w:val="20"/>
        </w:rPr>
        <w:t>(at 1500 km altitude)</w:t>
      </w:r>
      <w:r w:rsidR="00B258F8">
        <w:rPr>
          <w:i w:val="0"/>
          <w:color w:val="auto"/>
          <w:sz w:val="20"/>
          <w:szCs w:val="20"/>
        </w:rPr>
        <w:t xml:space="preserve">, the </w:t>
      </w:r>
      <w:r w:rsidR="00EB741A">
        <w:rPr>
          <w:i w:val="0"/>
          <w:color w:val="auto"/>
          <w:sz w:val="20"/>
          <w:szCs w:val="20"/>
        </w:rPr>
        <w:t xml:space="preserve">relatively smaller </w:t>
      </w:r>
      <w:r w:rsidR="00B258F8">
        <w:rPr>
          <w:i w:val="0"/>
          <w:color w:val="auto"/>
          <w:sz w:val="20"/>
          <w:szCs w:val="20"/>
        </w:rPr>
        <w:t xml:space="preserve">RTT propagation </w:t>
      </w:r>
      <w:r w:rsidR="00EB741A">
        <w:rPr>
          <w:i w:val="0"/>
          <w:color w:val="auto"/>
          <w:sz w:val="20"/>
          <w:szCs w:val="20"/>
        </w:rPr>
        <w:t xml:space="preserve">delay of </w:t>
      </w:r>
      <w:r w:rsidR="00B258F8">
        <w:rPr>
          <w:i w:val="0"/>
          <w:color w:val="auto"/>
          <w:sz w:val="20"/>
          <w:szCs w:val="20"/>
        </w:rPr>
        <w:t xml:space="preserve">around </w:t>
      </w:r>
      <w:r w:rsidR="00EB741A">
        <w:rPr>
          <w:i w:val="0"/>
          <w:color w:val="auto"/>
          <w:sz w:val="20"/>
          <w:szCs w:val="20"/>
        </w:rPr>
        <w:t xml:space="preserve">50 </w:t>
      </w:r>
      <w:proofErr w:type="spellStart"/>
      <w:r w:rsidR="00EB741A">
        <w:rPr>
          <w:i w:val="0"/>
          <w:color w:val="auto"/>
          <w:sz w:val="20"/>
          <w:szCs w:val="20"/>
        </w:rPr>
        <w:t>ms</w:t>
      </w:r>
      <w:proofErr w:type="spellEnd"/>
      <w:r w:rsidR="00EB741A">
        <w:rPr>
          <w:i w:val="0"/>
          <w:color w:val="auto"/>
          <w:sz w:val="20"/>
          <w:szCs w:val="20"/>
        </w:rPr>
        <w:t xml:space="preserve"> result</w:t>
      </w:r>
      <w:r w:rsidR="00467573">
        <w:rPr>
          <w:i w:val="0"/>
          <w:color w:val="auto"/>
          <w:sz w:val="20"/>
          <w:szCs w:val="20"/>
        </w:rPr>
        <w:t>s</w:t>
      </w:r>
      <w:r w:rsidR="00EB741A">
        <w:rPr>
          <w:i w:val="0"/>
          <w:color w:val="auto"/>
          <w:sz w:val="20"/>
          <w:szCs w:val="20"/>
        </w:rPr>
        <w:t xml:space="preserve"> in a throughput utilization of 32%.</w:t>
      </w:r>
      <w:r w:rsidRPr="007302B7">
        <w:rPr>
          <w:i w:val="0"/>
          <w:color w:val="auto"/>
          <w:sz w:val="20"/>
          <w:szCs w:val="20"/>
        </w:rPr>
        <w:t xml:space="preserve"> </w:t>
      </w:r>
      <w:r w:rsidR="00467573">
        <w:rPr>
          <w:i w:val="0"/>
          <w:color w:val="auto"/>
          <w:sz w:val="20"/>
          <w:szCs w:val="20"/>
        </w:rPr>
        <w:t>W</w:t>
      </w:r>
      <w:r w:rsidRPr="007302B7">
        <w:rPr>
          <w:i w:val="0"/>
          <w:color w:val="auto"/>
          <w:sz w:val="20"/>
          <w:szCs w:val="20"/>
        </w:rPr>
        <w:t xml:space="preserve">ithout </w:t>
      </w:r>
      <w:proofErr w:type="gramStart"/>
      <w:r w:rsidRPr="007302B7">
        <w:rPr>
          <w:i w:val="0"/>
          <w:color w:val="auto"/>
          <w:sz w:val="20"/>
          <w:szCs w:val="20"/>
        </w:rPr>
        <w:t>a sufficient number of</w:t>
      </w:r>
      <w:proofErr w:type="gramEnd"/>
      <w:r w:rsidRPr="007302B7">
        <w:rPr>
          <w:i w:val="0"/>
          <w:color w:val="auto"/>
          <w:sz w:val="20"/>
          <w:szCs w:val="20"/>
        </w:rPr>
        <w:t xml:space="preserve"> HARQ processes, the sheer magnitude of the propagation delay may render closed-loop HARQ communication impractical.</w:t>
      </w:r>
    </w:p>
    <w:p w14:paraId="08B04138" w14:textId="0C95802D" w:rsidR="00D76D90" w:rsidRPr="007302B7" w:rsidRDefault="00D76D90" w:rsidP="00351BE1">
      <w:pPr>
        <w:pStyle w:val="IvDInstructiontext"/>
        <w:numPr>
          <w:ilvl w:val="0"/>
          <w:numId w:val="21"/>
        </w:numPr>
        <w:rPr>
          <w:i w:val="0"/>
          <w:color w:val="auto"/>
          <w:sz w:val="20"/>
          <w:szCs w:val="20"/>
        </w:rPr>
      </w:pPr>
      <w:r w:rsidRPr="007302B7">
        <w:rPr>
          <w:i w:val="0"/>
          <w:color w:val="auto"/>
          <w:sz w:val="20"/>
          <w:szCs w:val="20"/>
        </w:rPr>
        <w:t xml:space="preserve">The number of HARQ processes supported by the existing HARQ protocol is not </w:t>
      </w:r>
      <w:proofErr w:type="gramStart"/>
      <w:r w:rsidRPr="007302B7">
        <w:rPr>
          <w:i w:val="0"/>
          <w:color w:val="auto"/>
          <w:sz w:val="20"/>
          <w:szCs w:val="20"/>
        </w:rPr>
        <w:t>sufficient</w:t>
      </w:r>
      <w:proofErr w:type="gramEnd"/>
      <w:r w:rsidRPr="007302B7">
        <w:rPr>
          <w:i w:val="0"/>
          <w:color w:val="auto"/>
          <w:sz w:val="20"/>
          <w:szCs w:val="20"/>
        </w:rPr>
        <w:t xml:space="preserve"> to absorb the potentially large propagation delays in non-terrestrial networks. </w:t>
      </w:r>
      <w:r w:rsidR="00177207" w:rsidRPr="007302B7">
        <w:rPr>
          <w:i w:val="0"/>
          <w:color w:val="auto"/>
          <w:sz w:val="20"/>
          <w:szCs w:val="20"/>
        </w:rPr>
        <w:t xml:space="preserve">This can be addressed by increasing the number of HARQ processes to match the propagation delay. </w:t>
      </w:r>
      <w:r w:rsidRPr="007302B7">
        <w:rPr>
          <w:i w:val="0"/>
          <w:color w:val="auto"/>
          <w:sz w:val="20"/>
          <w:szCs w:val="20"/>
        </w:rPr>
        <w:t xml:space="preserve">Unfortunately, it </w:t>
      </w:r>
      <w:r w:rsidR="00060CA4" w:rsidRPr="007302B7">
        <w:rPr>
          <w:i w:val="0"/>
          <w:color w:val="auto"/>
          <w:sz w:val="20"/>
          <w:szCs w:val="20"/>
        </w:rPr>
        <w:t>may be</w:t>
      </w:r>
      <w:r w:rsidRPr="007302B7">
        <w:rPr>
          <w:i w:val="0"/>
          <w:color w:val="auto"/>
          <w:sz w:val="20"/>
          <w:szCs w:val="20"/>
        </w:rPr>
        <w:t xml:space="preserve"> challenging to support that many HARQ processes </w:t>
      </w:r>
      <w:r w:rsidR="00060CA4" w:rsidRPr="007302B7">
        <w:rPr>
          <w:i w:val="0"/>
          <w:color w:val="auto"/>
          <w:sz w:val="20"/>
          <w:szCs w:val="20"/>
        </w:rPr>
        <w:t>since i</w:t>
      </w:r>
      <w:r w:rsidRPr="007302B7">
        <w:rPr>
          <w:i w:val="0"/>
          <w:color w:val="auto"/>
          <w:sz w:val="20"/>
          <w:szCs w:val="20"/>
        </w:rPr>
        <w:t>t requires large memor</w:t>
      </w:r>
      <w:r w:rsidR="008C18E1" w:rsidRPr="007302B7">
        <w:rPr>
          <w:i w:val="0"/>
          <w:color w:val="auto"/>
          <w:sz w:val="20"/>
          <w:szCs w:val="20"/>
        </w:rPr>
        <w:t>ies</w:t>
      </w:r>
      <w:r w:rsidRPr="007302B7">
        <w:rPr>
          <w:i w:val="0"/>
          <w:color w:val="auto"/>
          <w:sz w:val="20"/>
          <w:szCs w:val="20"/>
        </w:rPr>
        <w:t xml:space="preserve"> at both the transmitter and receiver.</w:t>
      </w:r>
    </w:p>
    <w:p w14:paraId="30584770" w14:textId="65EB64EE" w:rsidR="00060CA4" w:rsidRPr="007302B7" w:rsidRDefault="00060CA4" w:rsidP="00351BE1">
      <w:pPr>
        <w:pStyle w:val="IvDInstructiontext"/>
        <w:numPr>
          <w:ilvl w:val="0"/>
          <w:numId w:val="21"/>
        </w:numPr>
        <w:rPr>
          <w:i w:val="0"/>
          <w:color w:val="auto"/>
          <w:sz w:val="20"/>
          <w:szCs w:val="20"/>
        </w:rPr>
      </w:pPr>
      <w:r w:rsidRPr="007302B7">
        <w:rPr>
          <w:i w:val="0"/>
          <w:color w:val="auto"/>
          <w:sz w:val="20"/>
          <w:szCs w:val="20"/>
        </w:rPr>
        <w:t xml:space="preserve">To </w:t>
      </w:r>
      <w:r w:rsidR="008C18E1" w:rsidRPr="007302B7">
        <w:rPr>
          <w:i w:val="0"/>
          <w:color w:val="auto"/>
          <w:sz w:val="20"/>
          <w:szCs w:val="20"/>
        </w:rPr>
        <w:t>avoid the loss</w:t>
      </w:r>
      <w:r w:rsidRPr="007302B7">
        <w:rPr>
          <w:i w:val="0"/>
          <w:color w:val="auto"/>
          <w:sz w:val="20"/>
          <w:szCs w:val="20"/>
        </w:rPr>
        <w:t xml:space="preserve"> </w:t>
      </w:r>
      <w:r w:rsidR="008C18E1" w:rsidRPr="007302B7">
        <w:rPr>
          <w:i w:val="0"/>
          <w:color w:val="auto"/>
          <w:sz w:val="20"/>
          <w:szCs w:val="20"/>
        </w:rPr>
        <w:t xml:space="preserve">in throughput, </w:t>
      </w:r>
      <w:r w:rsidRPr="007302B7">
        <w:rPr>
          <w:i w:val="0"/>
          <w:color w:val="auto"/>
          <w:sz w:val="20"/>
          <w:szCs w:val="20"/>
        </w:rPr>
        <w:t>it may be desirable to</w:t>
      </w:r>
      <w:r w:rsidR="006E051F">
        <w:rPr>
          <w:i w:val="0"/>
          <w:color w:val="auto"/>
          <w:sz w:val="20"/>
          <w:szCs w:val="20"/>
        </w:rPr>
        <w:t xml:space="preserve"> provide an option</w:t>
      </w:r>
      <w:r w:rsidRPr="007302B7">
        <w:rPr>
          <w:i w:val="0"/>
          <w:color w:val="auto"/>
          <w:sz w:val="20"/>
          <w:szCs w:val="20"/>
        </w:rPr>
        <w:t xml:space="preserve"> </w:t>
      </w:r>
      <w:r w:rsidR="006C0C9D">
        <w:rPr>
          <w:i w:val="0"/>
          <w:color w:val="auto"/>
          <w:sz w:val="20"/>
          <w:szCs w:val="20"/>
        </w:rPr>
        <w:t xml:space="preserve">to </w:t>
      </w:r>
      <w:r w:rsidRPr="007302B7">
        <w:rPr>
          <w:i w:val="0"/>
          <w:color w:val="auto"/>
          <w:sz w:val="20"/>
          <w:szCs w:val="20"/>
        </w:rPr>
        <w:t>disable HARQ</w:t>
      </w:r>
      <w:r w:rsidR="006E051F">
        <w:rPr>
          <w:i w:val="0"/>
          <w:color w:val="auto"/>
          <w:sz w:val="20"/>
          <w:szCs w:val="20"/>
        </w:rPr>
        <w:t xml:space="preserve"> at least for </w:t>
      </w:r>
      <w:r w:rsidR="00CA21C8">
        <w:rPr>
          <w:i w:val="0"/>
          <w:color w:val="auto"/>
          <w:sz w:val="20"/>
          <w:szCs w:val="20"/>
        </w:rPr>
        <w:t xml:space="preserve">the </w:t>
      </w:r>
      <w:r w:rsidR="006E051F">
        <w:rPr>
          <w:i w:val="0"/>
          <w:color w:val="auto"/>
          <w:sz w:val="20"/>
          <w:szCs w:val="20"/>
        </w:rPr>
        <w:t>data bearers</w:t>
      </w:r>
      <w:r w:rsidRPr="007302B7">
        <w:rPr>
          <w:i w:val="0"/>
          <w:color w:val="auto"/>
          <w:sz w:val="20"/>
          <w:szCs w:val="20"/>
        </w:rPr>
        <w:t>. However, the current implementation supports limited functionality for disabling HARQ at the PHY/MAC layers.</w:t>
      </w:r>
    </w:p>
    <w:p w14:paraId="25E660C5" w14:textId="0836163B" w:rsidR="00D76D90" w:rsidRDefault="00D76D90" w:rsidP="00D76D90">
      <w:pPr>
        <w:pStyle w:val="IvDInstructiontext"/>
        <w:rPr>
          <w:i w:val="0"/>
          <w:color w:val="auto"/>
          <w:sz w:val="20"/>
          <w:szCs w:val="20"/>
        </w:rPr>
      </w:pPr>
      <w:r w:rsidRPr="007302B7">
        <w:rPr>
          <w:i w:val="0"/>
          <w:color w:val="auto"/>
          <w:sz w:val="20"/>
          <w:szCs w:val="20"/>
        </w:rPr>
        <w:t xml:space="preserve">In short, the existing HARQ mechanism </w:t>
      </w:r>
      <w:r w:rsidR="00CE2C85" w:rsidRPr="007302B7">
        <w:rPr>
          <w:i w:val="0"/>
          <w:color w:val="auto"/>
          <w:sz w:val="20"/>
          <w:szCs w:val="20"/>
        </w:rPr>
        <w:t xml:space="preserve">may not be well </w:t>
      </w:r>
      <w:r w:rsidRPr="007302B7">
        <w:rPr>
          <w:i w:val="0"/>
          <w:color w:val="auto"/>
          <w:sz w:val="20"/>
          <w:szCs w:val="20"/>
        </w:rPr>
        <w:t xml:space="preserve">suited </w:t>
      </w:r>
      <w:r w:rsidR="00467573">
        <w:rPr>
          <w:i w:val="0"/>
          <w:color w:val="auto"/>
          <w:sz w:val="20"/>
          <w:szCs w:val="20"/>
        </w:rPr>
        <w:t>for</w:t>
      </w:r>
      <w:r w:rsidR="006E051F">
        <w:rPr>
          <w:i w:val="0"/>
          <w:color w:val="auto"/>
          <w:sz w:val="20"/>
          <w:szCs w:val="20"/>
        </w:rPr>
        <w:t xml:space="preserve"> provid</w:t>
      </w:r>
      <w:r w:rsidR="00CA21C8">
        <w:rPr>
          <w:i w:val="0"/>
          <w:color w:val="auto"/>
          <w:sz w:val="20"/>
          <w:szCs w:val="20"/>
        </w:rPr>
        <w:t>ing</w:t>
      </w:r>
      <w:r w:rsidR="006E051F">
        <w:rPr>
          <w:i w:val="0"/>
          <w:color w:val="auto"/>
          <w:sz w:val="20"/>
          <w:szCs w:val="20"/>
        </w:rPr>
        <w:t xml:space="preserve"> a fast feedback loop </w:t>
      </w:r>
      <w:r w:rsidR="00B115A2">
        <w:rPr>
          <w:i w:val="0"/>
          <w:color w:val="auto"/>
          <w:sz w:val="20"/>
          <w:szCs w:val="20"/>
        </w:rPr>
        <w:t xml:space="preserve">for data transmission </w:t>
      </w:r>
      <w:r w:rsidR="006E051F">
        <w:rPr>
          <w:i w:val="0"/>
          <w:color w:val="auto"/>
          <w:sz w:val="20"/>
          <w:szCs w:val="20"/>
        </w:rPr>
        <w:t>in</w:t>
      </w:r>
      <w:r w:rsidRPr="007302B7">
        <w:rPr>
          <w:i w:val="0"/>
          <w:color w:val="auto"/>
          <w:sz w:val="20"/>
          <w:szCs w:val="20"/>
        </w:rPr>
        <w:t xml:space="preserve"> non-terrestrial networks</w:t>
      </w:r>
      <w:r w:rsidR="00CE2C85" w:rsidRPr="007302B7">
        <w:rPr>
          <w:i w:val="0"/>
          <w:color w:val="auto"/>
          <w:sz w:val="20"/>
          <w:szCs w:val="20"/>
        </w:rPr>
        <w:t>, especially for GEO communications systems</w:t>
      </w:r>
      <w:r w:rsidR="00EB741A">
        <w:rPr>
          <w:i w:val="0"/>
          <w:color w:val="auto"/>
          <w:sz w:val="20"/>
          <w:szCs w:val="20"/>
        </w:rPr>
        <w:t xml:space="preserve"> due to</w:t>
      </w:r>
      <w:r w:rsidR="00EB741A" w:rsidRPr="007302B7">
        <w:rPr>
          <w:i w:val="0"/>
          <w:color w:val="auto"/>
          <w:sz w:val="20"/>
          <w:szCs w:val="20"/>
        </w:rPr>
        <w:t xml:space="preserve"> large propagation delays</w:t>
      </w:r>
      <w:r w:rsidRPr="007302B7">
        <w:rPr>
          <w:i w:val="0"/>
          <w:color w:val="auto"/>
          <w:sz w:val="20"/>
          <w:szCs w:val="20"/>
        </w:rPr>
        <w:t xml:space="preserve">. </w:t>
      </w:r>
    </w:p>
    <w:p w14:paraId="3F4CFCEE" w14:textId="5E62F724" w:rsidR="001C2D58" w:rsidRPr="00484F2C" w:rsidRDefault="001C2D58" w:rsidP="00D76D90">
      <w:pPr>
        <w:pStyle w:val="IvDInstructiontext"/>
        <w:rPr>
          <w:b/>
          <w:i w:val="0"/>
          <w:color w:val="auto"/>
          <w:sz w:val="20"/>
          <w:szCs w:val="20"/>
        </w:rPr>
      </w:pPr>
      <w:r w:rsidRPr="00484F2C">
        <w:rPr>
          <w:b/>
          <w:i w:val="0"/>
          <w:color w:val="auto"/>
          <w:sz w:val="20"/>
          <w:szCs w:val="20"/>
        </w:rPr>
        <w:t xml:space="preserve">Proposal 1. </w:t>
      </w:r>
      <w:r w:rsidRPr="00484F2C">
        <w:rPr>
          <w:b/>
          <w:color w:val="auto"/>
        </w:rPr>
        <w:t xml:space="preserve"> </w:t>
      </w:r>
      <w:bookmarkStart w:id="0" w:name="_GoBack"/>
      <w:r w:rsidRPr="00484F2C">
        <w:rPr>
          <w:b/>
          <w:color w:val="auto"/>
          <w:sz w:val="20"/>
        </w:rPr>
        <w:t>Study</w:t>
      </w:r>
      <w:r w:rsidR="004B0AB1">
        <w:rPr>
          <w:b/>
          <w:color w:val="auto"/>
          <w:sz w:val="20"/>
        </w:rPr>
        <w:t xml:space="preserve"> RAN1 impact of</w:t>
      </w:r>
      <w:r w:rsidRPr="00484F2C">
        <w:rPr>
          <w:b/>
          <w:color w:val="auto"/>
          <w:sz w:val="20"/>
        </w:rPr>
        <w:t xml:space="preserve"> disabling HARQ </w:t>
      </w:r>
      <w:r w:rsidR="00616216" w:rsidRPr="00484F2C">
        <w:rPr>
          <w:b/>
          <w:color w:val="auto"/>
          <w:sz w:val="20"/>
        </w:rPr>
        <w:t xml:space="preserve">optionally at least </w:t>
      </w:r>
      <w:r w:rsidRPr="00484F2C">
        <w:rPr>
          <w:b/>
          <w:color w:val="auto"/>
          <w:sz w:val="20"/>
        </w:rPr>
        <w:t xml:space="preserve">for </w:t>
      </w:r>
      <w:r w:rsidR="00616216" w:rsidRPr="00484F2C">
        <w:rPr>
          <w:b/>
          <w:color w:val="auto"/>
          <w:sz w:val="20"/>
        </w:rPr>
        <w:t xml:space="preserve">the </w:t>
      </w:r>
      <w:r w:rsidRPr="00484F2C">
        <w:rPr>
          <w:b/>
          <w:color w:val="auto"/>
          <w:sz w:val="20"/>
        </w:rPr>
        <w:t>GEO scenario</w:t>
      </w:r>
      <w:bookmarkEnd w:id="0"/>
      <w:r w:rsidRPr="00484F2C">
        <w:rPr>
          <w:b/>
          <w:color w:val="auto"/>
          <w:sz w:val="20"/>
        </w:rPr>
        <w:t>.</w:t>
      </w:r>
    </w:p>
    <w:p w14:paraId="5514D727" w14:textId="54327775" w:rsidR="006E051F" w:rsidRDefault="006E051F" w:rsidP="00D76D90">
      <w:pPr>
        <w:pStyle w:val="IvDInstructiontext"/>
        <w:rPr>
          <w:i w:val="0"/>
          <w:color w:val="auto"/>
          <w:sz w:val="20"/>
          <w:szCs w:val="20"/>
        </w:rPr>
      </w:pPr>
      <w:r>
        <w:rPr>
          <w:i w:val="0"/>
          <w:color w:val="auto"/>
          <w:sz w:val="20"/>
          <w:szCs w:val="20"/>
        </w:rPr>
        <w:t xml:space="preserve">While HARQ may not facilitate high data rates, it may still serve as a tool </w:t>
      </w:r>
      <w:r w:rsidR="00467573">
        <w:rPr>
          <w:i w:val="0"/>
          <w:color w:val="auto"/>
          <w:sz w:val="20"/>
          <w:szCs w:val="20"/>
        </w:rPr>
        <w:t>for providing</w:t>
      </w:r>
      <w:r>
        <w:rPr>
          <w:i w:val="0"/>
          <w:color w:val="auto"/>
          <w:sz w:val="20"/>
          <w:szCs w:val="20"/>
        </w:rPr>
        <w:t xml:space="preserve"> reliability and coverage. </w:t>
      </w:r>
      <w:r w:rsidR="006C0C9D">
        <w:rPr>
          <w:i w:val="0"/>
          <w:color w:val="auto"/>
          <w:sz w:val="20"/>
          <w:szCs w:val="20"/>
        </w:rPr>
        <w:t xml:space="preserve">For example, </w:t>
      </w:r>
      <w:r>
        <w:rPr>
          <w:i w:val="0"/>
          <w:color w:val="auto"/>
          <w:sz w:val="20"/>
          <w:szCs w:val="20"/>
        </w:rPr>
        <w:t>HARQ do</w:t>
      </w:r>
      <w:r w:rsidR="006C0C9D">
        <w:rPr>
          <w:i w:val="0"/>
          <w:color w:val="auto"/>
          <w:sz w:val="20"/>
          <w:szCs w:val="20"/>
        </w:rPr>
        <w:t>es</w:t>
      </w:r>
      <w:r>
        <w:rPr>
          <w:i w:val="0"/>
          <w:color w:val="auto"/>
          <w:sz w:val="20"/>
          <w:szCs w:val="20"/>
        </w:rPr>
        <w:t xml:space="preserve"> facilitate high receiver processing gains thanks to soft-combining of retransmissions. </w:t>
      </w:r>
      <w:r w:rsidR="006C0C9D">
        <w:rPr>
          <w:i w:val="0"/>
          <w:color w:val="auto"/>
          <w:sz w:val="20"/>
          <w:szCs w:val="20"/>
        </w:rPr>
        <w:t>For this reason,</w:t>
      </w:r>
      <w:r>
        <w:rPr>
          <w:i w:val="0"/>
          <w:color w:val="auto"/>
          <w:sz w:val="20"/>
          <w:szCs w:val="20"/>
        </w:rPr>
        <w:t xml:space="preserve"> </w:t>
      </w:r>
      <w:r w:rsidR="006C0C9D">
        <w:rPr>
          <w:i w:val="0"/>
          <w:color w:val="auto"/>
          <w:sz w:val="20"/>
          <w:szCs w:val="20"/>
        </w:rPr>
        <w:t xml:space="preserve">it may be beneficial to support </w:t>
      </w:r>
      <w:r>
        <w:rPr>
          <w:i w:val="0"/>
          <w:color w:val="auto"/>
          <w:sz w:val="20"/>
          <w:szCs w:val="20"/>
        </w:rPr>
        <w:t>HARQ for signaling and for short transmissions where coverage may be of higher importance than data rates.</w:t>
      </w:r>
    </w:p>
    <w:p w14:paraId="54E92B0C" w14:textId="5DC32515" w:rsidR="006E051F" w:rsidRPr="007302B7" w:rsidRDefault="00B115A2" w:rsidP="00D76D90">
      <w:pPr>
        <w:pStyle w:val="IvDInstructiontext"/>
        <w:rPr>
          <w:i w:val="0"/>
          <w:color w:val="auto"/>
          <w:sz w:val="20"/>
          <w:szCs w:val="20"/>
        </w:rPr>
      </w:pPr>
      <w:r w:rsidRPr="007302B7">
        <w:rPr>
          <w:i w:val="0"/>
          <w:color w:val="auto"/>
          <w:sz w:val="20"/>
          <w:szCs w:val="20"/>
        </w:rPr>
        <w:t xml:space="preserve">Therefore, we need to study and develop new procedures for adapting HARQ </w:t>
      </w:r>
      <w:r>
        <w:rPr>
          <w:i w:val="0"/>
          <w:color w:val="auto"/>
          <w:sz w:val="20"/>
          <w:szCs w:val="20"/>
        </w:rPr>
        <w:t xml:space="preserve">and its use </w:t>
      </w:r>
      <w:r w:rsidRPr="007302B7">
        <w:rPr>
          <w:i w:val="0"/>
          <w:color w:val="auto"/>
          <w:sz w:val="20"/>
          <w:szCs w:val="20"/>
        </w:rPr>
        <w:t>to non-terrestrial networks.</w:t>
      </w:r>
      <w:r>
        <w:rPr>
          <w:i w:val="0"/>
          <w:color w:val="auto"/>
          <w:sz w:val="20"/>
          <w:szCs w:val="20"/>
        </w:rPr>
        <w:t xml:space="preserve"> </w:t>
      </w:r>
      <w:r w:rsidR="006E051F">
        <w:rPr>
          <w:i w:val="0"/>
          <w:color w:val="auto"/>
          <w:sz w:val="20"/>
          <w:szCs w:val="20"/>
        </w:rPr>
        <w:t>It is important for RAN1 to determine when HARQ may be useful, and when not. The impact on link level performance from deactivating HARQ needs</w:t>
      </w:r>
      <w:r>
        <w:rPr>
          <w:i w:val="0"/>
          <w:color w:val="auto"/>
          <w:sz w:val="20"/>
          <w:szCs w:val="20"/>
        </w:rPr>
        <w:t xml:space="preserve"> e.g.</w:t>
      </w:r>
      <w:r w:rsidR="006E051F">
        <w:rPr>
          <w:i w:val="0"/>
          <w:color w:val="auto"/>
          <w:sz w:val="20"/>
          <w:szCs w:val="20"/>
        </w:rPr>
        <w:t xml:space="preserve"> to be assessed for understanding the tradeoff </w:t>
      </w:r>
      <w:r w:rsidR="00467573">
        <w:rPr>
          <w:i w:val="0"/>
          <w:color w:val="auto"/>
          <w:sz w:val="20"/>
          <w:szCs w:val="20"/>
        </w:rPr>
        <w:t>when</w:t>
      </w:r>
      <w:r w:rsidR="006E051F">
        <w:rPr>
          <w:i w:val="0"/>
          <w:color w:val="auto"/>
          <w:sz w:val="20"/>
          <w:szCs w:val="20"/>
        </w:rPr>
        <w:t xml:space="preserve"> operating with and without HARQ. </w:t>
      </w:r>
      <w:r w:rsidR="00616216">
        <w:rPr>
          <w:i w:val="0"/>
          <w:color w:val="auto"/>
          <w:sz w:val="20"/>
          <w:szCs w:val="20"/>
        </w:rPr>
        <w:t>When HARQ is not used, t</w:t>
      </w:r>
      <w:r w:rsidR="006E051F">
        <w:rPr>
          <w:i w:val="0"/>
          <w:color w:val="auto"/>
          <w:sz w:val="20"/>
          <w:szCs w:val="20"/>
        </w:rPr>
        <w:t xml:space="preserve">he </w:t>
      </w:r>
      <w:r>
        <w:rPr>
          <w:i w:val="0"/>
          <w:color w:val="auto"/>
          <w:sz w:val="20"/>
          <w:szCs w:val="20"/>
        </w:rPr>
        <w:t xml:space="preserve">alternative </w:t>
      </w:r>
      <w:r w:rsidR="006E051F">
        <w:rPr>
          <w:i w:val="0"/>
          <w:color w:val="auto"/>
          <w:sz w:val="20"/>
          <w:szCs w:val="20"/>
        </w:rPr>
        <w:t xml:space="preserve">performance offered by RLC and PDCP retransmission procedures </w:t>
      </w:r>
      <w:r w:rsidR="00616216">
        <w:rPr>
          <w:i w:val="0"/>
          <w:color w:val="auto"/>
          <w:sz w:val="20"/>
          <w:szCs w:val="20"/>
        </w:rPr>
        <w:t xml:space="preserve">also </w:t>
      </w:r>
      <w:r w:rsidR="006E051F">
        <w:rPr>
          <w:i w:val="0"/>
          <w:color w:val="auto"/>
          <w:sz w:val="20"/>
          <w:szCs w:val="20"/>
        </w:rPr>
        <w:t>needs to be considered.</w:t>
      </w:r>
    </w:p>
    <w:p w14:paraId="5300F849" w14:textId="3309C562" w:rsidR="00C01F33" w:rsidRPr="00CE0424" w:rsidRDefault="00C01F33" w:rsidP="00CE0424">
      <w:pPr>
        <w:pStyle w:val="Heading1"/>
      </w:pPr>
      <w:r w:rsidRPr="00CE0424">
        <w:t>Conclusion</w:t>
      </w:r>
      <w:r w:rsidR="008C18E1">
        <w:t>s</w:t>
      </w:r>
    </w:p>
    <w:p w14:paraId="69475F54" w14:textId="473E55BB" w:rsidR="00060CA4" w:rsidRDefault="00F03DAF" w:rsidP="0053334B">
      <w:pPr>
        <w:pStyle w:val="BodyText"/>
        <w:rPr>
          <w:sz w:val="20"/>
          <w:szCs w:val="20"/>
        </w:rPr>
      </w:pPr>
      <w:r w:rsidRPr="007302B7">
        <w:rPr>
          <w:sz w:val="20"/>
          <w:szCs w:val="20"/>
        </w:rPr>
        <w:t xml:space="preserve">In </w:t>
      </w:r>
      <w:r w:rsidR="00B115A2">
        <w:rPr>
          <w:sz w:val="20"/>
          <w:szCs w:val="20"/>
        </w:rPr>
        <w:t>this contribution</w:t>
      </w:r>
      <w:r w:rsidR="00C836D8" w:rsidRPr="007302B7">
        <w:rPr>
          <w:sz w:val="20"/>
          <w:szCs w:val="20"/>
        </w:rPr>
        <w:t xml:space="preserve">, we </w:t>
      </w:r>
      <w:r w:rsidR="008C18E1" w:rsidRPr="007302B7">
        <w:rPr>
          <w:sz w:val="20"/>
          <w:szCs w:val="20"/>
        </w:rPr>
        <w:t xml:space="preserve">argue that the existing HARQ procedure </w:t>
      </w:r>
      <w:r w:rsidR="00CE2C85" w:rsidRPr="007302B7">
        <w:rPr>
          <w:sz w:val="20"/>
          <w:szCs w:val="20"/>
        </w:rPr>
        <w:t>may not be well</w:t>
      </w:r>
      <w:r w:rsidR="008C18E1" w:rsidRPr="007302B7">
        <w:rPr>
          <w:sz w:val="20"/>
          <w:szCs w:val="20"/>
        </w:rPr>
        <w:t xml:space="preserve">-suited </w:t>
      </w:r>
      <w:r w:rsidR="00CE2C85" w:rsidRPr="007302B7">
        <w:rPr>
          <w:sz w:val="20"/>
          <w:szCs w:val="20"/>
        </w:rPr>
        <w:t>for</w:t>
      </w:r>
      <w:r w:rsidR="00B115A2">
        <w:rPr>
          <w:sz w:val="20"/>
          <w:szCs w:val="20"/>
        </w:rPr>
        <w:t xml:space="preserve"> providing high-speed data services in</w:t>
      </w:r>
      <w:r w:rsidR="008C18E1" w:rsidRPr="007302B7">
        <w:rPr>
          <w:sz w:val="20"/>
          <w:szCs w:val="20"/>
        </w:rPr>
        <w:t xml:space="preserve"> non-terrestrial networks with large propagation delays</w:t>
      </w:r>
      <w:r w:rsidR="00CE2C85" w:rsidRPr="007302B7">
        <w:rPr>
          <w:sz w:val="20"/>
          <w:szCs w:val="20"/>
        </w:rPr>
        <w:t>, especially for GEO communications systems</w:t>
      </w:r>
      <w:r w:rsidR="008C18E1" w:rsidRPr="007302B7">
        <w:rPr>
          <w:sz w:val="20"/>
          <w:szCs w:val="20"/>
        </w:rPr>
        <w:t>.</w:t>
      </w:r>
      <w:r w:rsidR="00060CA4" w:rsidRPr="007302B7">
        <w:rPr>
          <w:sz w:val="20"/>
          <w:szCs w:val="20"/>
        </w:rPr>
        <w:t xml:space="preserve"> </w:t>
      </w:r>
      <w:r w:rsidR="00B115A2">
        <w:rPr>
          <w:sz w:val="20"/>
          <w:szCs w:val="20"/>
        </w:rPr>
        <w:t xml:space="preserve">It may still offer benefits in terms of coverage and reliability which may serve signaling and other services well. </w:t>
      </w:r>
      <w:r w:rsidR="00060CA4" w:rsidRPr="007302B7">
        <w:rPr>
          <w:sz w:val="20"/>
          <w:szCs w:val="20"/>
        </w:rPr>
        <w:t xml:space="preserve">This calls for </w:t>
      </w:r>
      <w:r w:rsidR="00B115A2">
        <w:rPr>
          <w:sz w:val="20"/>
          <w:szCs w:val="20"/>
        </w:rPr>
        <w:t xml:space="preserve">a study of the benefits of the NR </w:t>
      </w:r>
      <w:r w:rsidR="00060CA4" w:rsidRPr="007302B7">
        <w:rPr>
          <w:sz w:val="20"/>
          <w:szCs w:val="20"/>
        </w:rPr>
        <w:t xml:space="preserve">HARQ </w:t>
      </w:r>
      <w:r w:rsidR="008C18E1" w:rsidRPr="007302B7">
        <w:rPr>
          <w:sz w:val="20"/>
          <w:szCs w:val="20"/>
        </w:rPr>
        <w:t>mechanism</w:t>
      </w:r>
      <w:r w:rsidR="001165C3" w:rsidRPr="007302B7">
        <w:rPr>
          <w:sz w:val="20"/>
          <w:szCs w:val="20"/>
        </w:rPr>
        <w:t xml:space="preserve"> </w:t>
      </w:r>
      <w:r w:rsidR="00B115A2">
        <w:rPr>
          <w:sz w:val="20"/>
          <w:szCs w:val="20"/>
        </w:rPr>
        <w:t>in</w:t>
      </w:r>
      <w:r w:rsidR="008C18E1" w:rsidRPr="007302B7">
        <w:rPr>
          <w:sz w:val="20"/>
          <w:szCs w:val="20"/>
        </w:rPr>
        <w:t xml:space="preserve"> non-terrestrial networks. This may include the functionality to </w:t>
      </w:r>
      <w:r w:rsidR="00B115A2">
        <w:rPr>
          <w:sz w:val="20"/>
          <w:szCs w:val="20"/>
        </w:rPr>
        <w:t xml:space="preserve">optionally </w:t>
      </w:r>
      <w:r w:rsidR="008C18E1" w:rsidRPr="007302B7">
        <w:rPr>
          <w:sz w:val="20"/>
          <w:szCs w:val="20"/>
        </w:rPr>
        <w:t>disabl</w:t>
      </w:r>
      <w:r w:rsidR="00177947">
        <w:rPr>
          <w:sz w:val="20"/>
          <w:szCs w:val="20"/>
        </w:rPr>
        <w:t>ing</w:t>
      </w:r>
      <w:r w:rsidR="008C18E1" w:rsidRPr="007302B7">
        <w:rPr>
          <w:sz w:val="20"/>
          <w:szCs w:val="20"/>
        </w:rPr>
        <w:t xml:space="preserve"> HARQ</w:t>
      </w:r>
      <w:r w:rsidR="00B115A2">
        <w:rPr>
          <w:sz w:val="20"/>
          <w:szCs w:val="20"/>
        </w:rPr>
        <w:t xml:space="preserve"> for data bearers</w:t>
      </w:r>
      <w:r w:rsidR="008C18E1" w:rsidRPr="007302B7">
        <w:rPr>
          <w:sz w:val="20"/>
          <w:szCs w:val="20"/>
        </w:rPr>
        <w:t xml:space="preserve">, making HARQ delay-tolerant, </w:t>
      </w:r>
      <w:r w:rsidR="00467573">
        <w:rPr>
          <w:sz w:val="20"/>
          <w:szCs w:val="20"/>
        </w:rPr>
        <w:t>and</w:t>
      </w:r>
      <w:r w:rsidR="00B115A2">
        <w:rPr>
          <w:sz w:val="20"/>
          <w:szCs w:val="20"/>
        </w:rPr>
        <w:t xml:space="preserve"> relying on RLC and/or PDCP retransmissions</w:t>
      </w:r>
      <w:r w:rsidR="00616216">
        <w:rPr>
          <w:sz w:val="20"/>
          <w:szCs w:val="20"/>
        </w:rPr>
        <w:t xml:space="preserve"> instead of HARQ</w:t>
      </w:r>
      <w:r w:rsidR="00B115A2">
        <w:rPr>
          <w:sz w:val="20"/>
          <w:szCs w:val="20"/>
        </w:rPr>
        <w:t>.</w:t>
      </w:r>
      <w:r w:rsidR="008C18E1" w:rsidRPr="007302B7">
        <w:rPr>
          <w:sz w:val="20"/>
          <w:szCs w:val="20"/>
        </w:rPr>
        <w:t xml:space="preserve"> </w:t>
      </w:r>
    </w:p>
    <w:p w14:paraId="7EE02866" w14:textId="65E4B932" w:rsidR="00616216" w:rsidRDefault="00616216" w:rsidP="0053334B">
      <w:pPr>
        <w:pStyle w:val="BodyText"/>
        <w:rPr>
          <w:sz w:val="20"/>
          <w:szCs w:val="20"/>
        </w:rPr>
      </w:pPr>
      <w:r>
        <w:rPr>
          <w:sz w:val="20"/>
          <w:szCs w:val="20"/>
        </w:rPr>
        <w:t>We made the following proposal in this contribution.</w:t>
      </w:r>
    </w:p>
    <w:p w14:paraId="112BBEE6" w14:textId="1F0190C8" w:rsidR="00616216" w:rsidRPr="00484F2C" w:rsidRDefault="00616216" w:rsidP="00616216">
      <w:pPr>
        <w:pStyle w:val="IvDInstructiontext"/>
        <w:rPr>
          <w:b/>
          <w:i w:val="0"/>
          <w:color w:val="auto"/>
          <w:sz w:val="20"/>
          <w:szCs w:val="20"/>
        </w:rPr>
      </w:pPr>
      <w:r w:rsidRPr="00484F2C">
        <w:rPr>
          <w:b/>
          <w:i w:val="0"/>
          <w:color w:val="auto"/>
          <w:sz w:val="20"/>
          <w:szCs w:val="20"/>
        </w:rPr>
        <w:t xml:space="preserve">Proposal 1. </w:t>
      </w:r>
      <w:r w:rsidRPr="00484F2C">
        <w:rPr>
          <w:b/>
        </w:rPr>
        <w:t xml:space="preserve"> </w:t>
      </w:r>
      <w:r w:rsidRPr="00484F2C">
        <w:rPr>
          <w:b/>
          <w:color w:val="auto"/>
          <w:sz w:val="20"/>
        </w:rPr>
        <w:t xml:space="preserve">Study </w:t>
      </w:r>
      <w:r w:rsidR="000F7C58">
        <w:rPr>
          <w:b/>
          <w:color w:val="auto"/>
          <w:sz w:val="20"/>
        </w:rPr>
        <w:t xml:space="preserve">RAN1 impact of </w:t>
      </w:r>
      <w:r w:rsidRPr="00484F2C">
        <w:rPr>
          <w:b/>
          <w:color w:val="auto"/>
          <w:sz w:val="20"/>
        </w:rPr>
        <w:t xml:space="preserve">disabling HARQ optionally at least for </w:t>
      </w:r>
      <w:r w:rsidR="00177947" w:rsidRPr="00484F2C">
        <w:rPr>
          <w:b/>
          <w:color w:val="auto"/>
          <w:sz w:val="20"/>
        </w:rPr>
        <w:t xml:space="preserve">the </w:t>
      </w:r>
      <w:r w:rsidRPr="00484F2C">
        <w:rPr>
          <w:b/>
          <w:color w:val="auto"/>
          <w:sz w:val="20"/>
        </w:rPr>
        <w:t>GEO scenario.</w:t>
      </w:r>
    </w:p>
    <w:p w14:paraId="16673A14" w14:textId="77777777" w:rsidR="00616216" w:rsidRPr="007302B7" w:rsidRDefault="00616216" w:rsidP="0053334B">
      <w:pPr>
        <w:pStyle w:val="BodyText"/>
        <w:rPr>
          <w:sz w:val="20"/>
          <w:szCs w:val="20"/>
        </w:rPr>
      </w:pPr>
    </w:p>
    <w:p w14:paraId="7203AEF7" w14:textId="77777777" w:rsidR="00F507D1" w:rsidRPr="00CE0424" w:rsidRDefault="00F507D1" w:rsidP="00CE0424">
      <w:pPr>
        <w:pStyle w:val="Heading1"/>
      </w:pPr>
      <w:bookmarkStart w:id="1" w:name="_In-sequence_SDU_delivery"/>
      <w:bookmarkEnd w:id="1"/>
      <w:r w:rsidRPr="00CE0424">
        <w:t>References</w:t>
      </w:r>
    </w:p>
    <w:p w14:paraId="243BBE1A" w14:textId="1A1C0B1F" w:rsidR="00252121" w:rsidRDefault="00252121" w:rsidP="00484F2C">
      <w:pPr>
        <w:pStyle w:val="Reference"/>
        <w:numPr>
          <w:ilvl w:val="0"/>
          <w:numId w:val="0"/>
        </w:numPr>
        <w:ind w:left="567"/>
      </w:pPr>
      <w:bookmarkStart w:id="2" w:name="_Ref510504022"/>
      <w:bookmarkStart w:id="3" w:name="_Ref510814820"/>
      <w:bookmarkStart w:id="4" w:name="_Ref174151459"/>
      <w:bookmarkStart w:id="5" w:name="_Ref189809556"/>
    </w:p>
    <w:p w14:paraId="702CFEDC" w14:textId="1D5A8D90" w:rsidR="00252121" w:rsidRPr="004B0AB1" w:rsidRDefault="00252121" w:rsidP="00252121">
      <w:pPr>
        <w:pStyle w:val="Reference"/>
      </w:pPr>
      <w:r w:rsidRPr="00484F2C">
        <w:t>RP-182880, Study on solutions for NR to support non-terrestrial networks (NTN), Thales, RAN #82, Sorrento, Italy, December 2018</w:t>
      </w:r>
    </w:p>
    <w:p w14:paraId="776F3443" w14:textId="1B7A9C79" w:rsidR="005F3025" w:rsidRPr="007302B7" w:rsidRDefault="00715EB1" w:rsidP="000F36A4">
      <w:pPr>
        <w:pStyle w:val="Reference"/>
      </w:pPr>
      <w:r w:rsidRPr="007302B7">
        <w:t>3GPP T</w:t>
      </w:r>
      <w:r w:rsidR="000F36A4" w:rsidRPr="007302B7">
        <w:t>R</w:t>
      </w:r>
      <w:r w:rsidRPr="007302B7">
        <w:t xml:space="preserve"> 38.</w:t>
      </w:r>
      <w:r w:rsidR="000F36A4" w:rsidRPr="007302B7">
        <w:t>811</w:t>
      </w:r>
      <w:bookmarkEnd w:id="2"/>
      <w:bookmarkEnd w:id="3"/>
      <w:bookmarkEnd w:id="4"/>
      <w:bookmarkEnd w:id="5"/>
      <w:r w:rsidR="000F36A4" w:rsidRPr="007302B7">
        <w:t>, Study on New Radio (NR) to support non-terrestrial networks, V15.0.0.</w:t>
      </w:r>
    </w:p>
    <w:sectPr w:rsidR="005F3025" w:rsidRPr="007302B7"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BB6E7" w14:textId="77777777" w:rsidR="00F45AB7" w:rsidRDefault="00F45AB7">
      <w:r>
        <w:separator/>
      </w:r>
    </w:p>
  </w:endnote>
  <w:endnote w:type="continuationSeparator" w:id="0">
    <w:p w14:paraId="057F6158" w14:textId="77777777" w:rsidR="00F45AB7" w:rsidRDefault="00F4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E2D8F" w14:textId="77777777" w:rsidR="00F45AB7" w:rsidRDefault="00F45AB7">
      <w:r>
        <w:separator/>
      </w:r>
    </w:p>
  </w:footnote>
  <w:footnote w:type="continuationSeparator" w:id="0">
    <w:p w14:paraId="52F3F3BF" w14:textId="77777777" w:rsidR="00F45AB7" w:rsidRDefault="00F4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5"/>
  </w:num>
  <w:num w:numId="5">
    <w:abstractNumId w:val="16"/>
  </w:num>
  <w:num w:numId="6">
    <w:abstractNumId w:val="19"/>
  </w:num>
  <w:num w:numId="7">
    <w:abstractNumId w:val="5"/>
  </w:num>
  <w:num w:numId="8">
    <w:abstractNumId w:val="6"/>
  </w:num>
  <w:num w:numId="9">
    <w:abstractNumId w:val="3"/>
  </w:num>
  <w:num w:numId="10">
    <w:abstractNumId w:val="22"/>
  </w:num>
  <w:num w:numId="11">
    <w:abstractNumId w:val="10"/>
  </w:num>
  <w:num w:numId="12">
    <w:abstractNumId w:val="21"/>
  </w:num>
  <w:num w:numId="13">
    <w:abstractNumId w:val="9"/>
  </w:num>
  <w:num w:numId="14">
    <w:abstractNumId w:val="14"/>
  </w:num>
  <w:num w:numId="15">
    <w:abstractNumId w:val="18"/>
  </w:num>
  <w:num w:numId="16">
    <w:abstractNumId w:val="7"/>
  </w:num>
  <w:num w:numId="17">
    <w:abstractNumId w:val="17"/>
  </w:num>
  <w:num w:numId="18">
    <w:abstractNumId w:val="4"/>
  </w:num>
  <w:num w:numId="19">
    <w:abstractNumId w:val="8"/>
  </w:num>
  <w:num w:numId="20">
    <w:abstractNumId w:val="12"/>
  </w:num>
  <w:num w:numId="21">
    <w:abstractNumId w:val="2"/>
  </w:num>
  <w:num w:numId="22">
    <w:abstractNumId w:val="23"/>
  </w:num>
  <w:num w:numId="23">
    <w:abstractNumId w:val="20"/>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2CE7"/>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0F7C58"/>
    <w:rsid w:val="001005FF"/>
    <w:rsid w:val="001062FB"/>
    <w:rsid w:val="001063E6"/>
    <w:rsid w:val="0011020B"/>
    <w:rsid w:val="001136D5"/>
    <w:rsid w:val="00113CF4"/>
    <w:rsid w:val="001153EA"/>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7794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2D58"/>
    <w:rsid w:val="001C3D2A"/>
    <w:rsid w:val="001D51BA"/>
    <w:rsid w:val="001D53E7"/>
    <w:rsid w:val="001D6342"/>
    <w:rsid w:val="001D6D53"/>
    <w:rsid w:val="001E1B42"/>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212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5B9"/>
    <w:rsid w:val="003F6BBE"/>
    <w:rsid w:val="004000E8"/>
    <w:rsid w:val="00402E2B"/>
    <w:rsid w:val="0040512B"/>
    <w:rsid w:val="00405CA5"/>
    <w:rsid w:val="00407CD3"/>
    <w:rsid w:val="00407D57"/>
    <w:rsid w:val="00410134"/>
    <w:rsid w:val="00410B72"/>
    <w:rsid w:val="00410F18"/>
    <w:rsid w:val="0041161A"/>
    <w:rsid w:val="0041263E"/>
    <w:rsid w:val="00413AAC"/>
    <w:rsid w:val="00413E92"/>
    <w:rsid w:val="00416222"/>
    <w:rsid w:val="00421105"/>
    <w:rsid w:val="00422AA4"/>
    <w:rsid w:val="004242F4"/>
    <w:rsid w:val="00425EA8"/>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67573"/>
    <w:rsid w:val="00470C31"/>
    <w:rsid w:val="00471DE0"/>
    <w:rsid w:val="004734D0"/>
    <w:rsid w:val="004738BF"/>
    <w:rsid w:val="0047556B"/>
    <w:rsid w:val="00477768"/>
    <w:rsid w:val="00484F2C"/>
    <w:rsid w:val="00485E45"/>
    <w:rsid w:val="00492BC5"/>
    <w:rsid w:val="004964F1"/>
    <w:rsid w:val="004A16BC"/>
    <w:rsid w:val="004A2B94"/>
    <w:rsid w:val="004B0AB1"/>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27362"/>
    <w:rsid w:val="0053334B"/>
    <w:rsid w:val="00534B59"/>
    <w:rsid w:val="005360F9"/>
    <w:rsid w:val="00536759"/>
    <w:rsid w:val="00536E0C"/>
    <w:rsid w:val="00537C62"/>
    <w:rsid w:val="00546970"/>
    <w:rsid w:val="00554E19"/>
    <w:rsid w:val="005565C7"/>
    <w:rsid w:val="0056121F"/>
    <w:rsid w:val="00565FFB"/>
    <w:rsid w:val="00572505"/>
    <w:rsid w:val="0057417F"/>
    <w:rsid w:val="00582809"/>
    <w:rsid w:val="00586307"/>
    <w:rsid w:val="0058798C"/>
    <w:rsid w:val="005900FA"/>
    <w:rsid w:val="00592655"/>
    <w:rsid w:val="005935A4"/>
    <w:rsid w:val="005948C2"/>
    <w:rsid w:val="00595008"/>
    <w:rsid w:val="00595DCA"/>
    <w:rsid w:val="0059779B"/>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83C"/>
    <w:rsid w:val="00603771"/>
    <w:rsid w:val="00604A79"/>
    <w:rsid w:val="00604F14"/>
    <w:rsid w:val="00611B83"/>
    <w:rsid w:val="00613257"/>
    <w:rsid w:val="00614E33"/>
    <w:rsid w:val="0061621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0C9D"/>
    <w:rsid w:val="006C4849"/>
    <w:rsid w:val="006C5EC9"/>
    <w:rsid w:val="006C6059"/>
    <w:rsid w:val="006C6A79"/>
    <w:rsid w:val="006C7522"/>
    <w:rsid w:val="006D30C0"/>
    <w:rsid w:val="006D6F08"/>
    <w:rsid w:val="006E051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02B7"/>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4CEB"/>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0A5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40CF"/>
    <w:rsid w:val="008D5229"/>
    <w:rsid w:val="008D6D1A"/>
    <w:rsid w:val="008D72D2"/>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18D3"/>
    <w:rsid w:val="00AB4AB8"/>
    <w:rsid w:val="00AB655E"/>
    <w:rsid w:val="00AC007F"/>
    <w:rsid w:val="00AC2546"/>
    <w:rsid w:val="00AC2ECD"/>
    <w:rsid w:val="00AC3119"/>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15A2"/>
    <w:rsid w:val="00B14120"/>
    <w:rsid w:val="00B157F9"/>
    <w:rsid w:val="00B20256"/>
    <w:rsid w:val="00B20D09"/>
    <w:rsid w:val="00B249E9"/>
    <w:rsid w:val="00B258F8"/>
    <w:rsid w:val="00B2763F"/>
    <w:rsid w:val="00B27AAC"/>
    <w:rsid w:val="00B30929"/>
    <w:rsid w:val="00B372AA"/>
    <w:rsid w:val="00B40445"/>
    <w:rsid w:val="00B409E0"/>
    <w:rsid w:val="00B41888"/>
    <w:rsid w:val="00B45A52"/>
    <w:rsid w:val="00B45BF8"/>
    <w:rsid w:val="00B45E11"/>
    <w:rsid w:val="00B46175"/>
    <w:rsid w:val="00B548B7"/>
    <w:rsid w:val="00B567B0"/>
    <w:rsid w:val="00B647A6"/>
    <w:rsid w:val="00B664C7"/>
    <w:rsid w:val="00B739F6"/>
    <w:rsid w:val="00B74756"/>
    <w:rsid w:val="00B81A6C"/>
    <w:rsid w:val="00B84F54"/>
    <w:rsid w:val="00B85DE5"/>
    <w:rsid w:val="00B90F73"/>
    <w:rsid w:val="00B91FC0"/>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56165"/>
    <w:rsid w:val="00C60783"/>
    <w:rsid w:val="00C64672"/>
    <w:rsid w:val="00C70697"/>
    <w:rsid w:val="00C72093"/>
    <w:rsid w:val="00C72EF4"/>
    <w:rsid w:val="00C73163"/>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A21C8"/>
    <w:rsid w:val="00CB1F63"/>
    <w:rsid w:val="00CB3AFC"/>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4525"/>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04B"/>
    <w:rsid w:val="00D66155"/>
    <w:rsid w:val="00D67741"/>
    <w:rsid w:val="00D708B0"/>
    <w:rsid w:val="00D7121A"/>
    <w:rsid w:val="00D7281A"/>
    <w:rsid w:val="00D74B24"/>
    <w:rsid w:val="00D76D90"/>
    <w:rsid w:val="00D77B1D"/>
    <w:rsid w:val="00D8021F"/>
    <w:rsid w:val="00D80383"/>
    <w:rsid w:val="00D823C6"/>
    <w:rsid w:val="00D8327F"/>
    <w:rsid w:val="00D852A8"/>
    <w:rsid w:val="00D86CA3"/>
    <w:rsid w:val="00D871CE"/>
    <w:rsid w:val="00D9196D"/>
    <w:rsid w:val="00D92982"/>
    <w:rsid w:val="00DA305E"/>
    <w:rsid w:val="00DA3DC9"/>
    <w:rsid w:val="00DA5417"/>
    <w:rsid w:val="00DA56E8"/>
    <w:rsid w:val="00DA5D0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577B1"/>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41A"/>
    <w:rsid w:val="00EC24D5"/>
    <w:rsid w:val="00EC27C6"/>
    <w:rsid w:val="00EC4207"/>
    <w:rsid w:val="00EC5653"/>
    <w:rsid w:val="00EC71CE"/>
    <w:rsid w:val="00ED0C7A"/>
    <w:rsid w:val="00ED1006"/>
    <w:rsid w:val="00ED77EB"/>
    <w:rsid w:val="00ED7F88"/>
    <w:rsid w:val="00EE1DA8"/>
    <w:rsid w:val="00EE7FD3"/>
    <w:rsid w:val="00EF18FE"/>
    <w:rsid w:val="00EF5787"/>
    <w:rsid w:val="00EF60D0"/>
    <w:rsid w:val="00F02274"/>
    <w:rsid w:val="00F03DAF"/>
    <w:rsid w:val="00F0528D"/>
    <w:rsid w:val="00F066BC"/>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5AB7"/>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4711"/>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54F3D2B3-06E9-4EEF-A92D-7657EF69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4F2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84F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4F2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001D6-861D-4C6F-A046-DE4D41FA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Siva Muruganathan</cp:lastModifiedBy>
  <cp:revision>27</cp:revision>
  <dcterms:created xsi:type="dcterms:W3CDTF">2018-09-29T04:37:00Z</dcterms:created>
  <dcterms:modified xsi:type="dcterms:W3CDTF">2019-02-15T23:11:00Z</dcterms:modified>
  <cp:category/>
</cp:coreProperties>
</file>